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2BC9" w14:textId="77777777" w:rsidR="00A65B1F" w:rsidRDefault="00A65B1F"/>
    <w:p w14:paraId="6B210B3E" w14:textId="77777777" w:rsidR="00A65B1F" w:rsidRPr="00927A61" w:rsidRDefault="00A65B1F">
      <w:pPr>
        <w:rPr>
          <w:color w:val="3A7C22" w:themeColor="accent6" w:themeShade="BF"/>
        </w:rPr>
      </w:pPr>
    </w:p>
    <w:p w14:paraId="77EC7AB6" w14:textId="7DFEF4F2" w:rsidR="00A65B1F" w:rsidRPr="00927A61" w:rsidRDefault="00F21308">
      <w:pPr>
        <w:rPr>
          <w:color w:val="3A7C22" w:themeColor="accent6" w:themeShade="BF"/>
        </w:rPr>
      </w:pPr>
      <w:r w:rsidRPr="00927A61">
        <w:rPr>
          <w:color w:val="3A7C22" w:themeColor="accent6" w:themeShade="BF"/>
        </w:rPr>
        <w:t>This monitoring plan is written from the perspective of a study with a sponsor that is separate from the investigator.  If the investigator is also the sponsor, please adapt the monitoring plan accordingly.</w:t>
      </w:r>
    </w:p>
    <w:p w14:paraId="36D99F2D" w14:textId="77777777" w:rsidR="00A65B1F" w:rsidRDefault="00A65B1F"/>
    <w:p w14:paraId="35147CD8" w14:textId="77777777" w:rsidR="00A65B1F" w:rsidRDefault="00A65B1F"/>
    <w:p w14:paraId="00EA82B6" w14:textId="77777777" w:rsidR="00A65B1F" w:rsidRDefault="00A65B1F"/>
    <w:p w14:paraId="412ECF14" w14:textId="77777777" w:rsidR="00A65B1F" w:rsidRDefault="00A65B1F"/>
    <w:p w14:paraId="79768423" w14:textId="77777777" w:rsidR="00A65B1F" w:rsidRDefault="00A65B1F"/>
    <w:p w14:paraId="010A41BD" w14:textId="77777777" w:rsidR="00A65B1F" w:rsidRDefault="00A65B1F"/>
    <w:p w14:paraId="7109F158" w14:textId="77777777" w:rsidR="00A65B1F" w:rsidRDefault="00A65B1F"/>
    <w:p w14:paraId="3AE9C8EE" w14:textId="77777777" w:rsidR="00A65B1F" w:rsidRDefault="00A65B1F"/>
    <w:p w14:paraId="3FEB4A23" w14:textId="77777777" w:rsidR="00A65B1F" w:rsidRPr="00A65B1F" w:rsidRDefault="00A65B1F" w:rsidP="00A65B1F">
      <w:pPr>
        <w:jc w:val="center"/>
        <w:rPr>
          <w:b/>
          <w:bCs/>
        </w:rPr>
      </w:pPr>
    </w:p>
    <w:p w14:paraId="0D051DC1" w14:textId="75747861" w:rsidR="00692C08" w:rsidRPr="00A65B1F" w:rsidRDefault="00A65B1F" w:rsidP="00A65B1F">
      <w:pPr>
        <w:jc w:val="center"/>
        <w:rPr>
          <w:b/>
          <w:bCs/>
        </w:rPr>
      </w:pPr>
      <w:r w:rsidRPr="00A65B1F">
        <w:rPr>
          <w:b/>
          <w:bCs/>
        </w:rPr>
        <w:t>Monitoring Plan</w:t>
      </w:r>
    </w:p>
    <w:p w14:paraId="79FD4699" w14:textId="77777777" w:rsidR="00A65B1F" w:rsidRDefault="00A65B1F"/>
    <w:p w14:paraId="3DA6741C" w14:textId="77777777" w:rsidR="00A65B1F" w:rsidRDefault="00A65B1F"/>
    <w:p w14:paraId="4DFA24AB" w14:textId="77777777" w:rsidR="00A65B1F" w:rsidRDefault="00A65B1F"/>
    <w:p w14:paraId="1C5F764B" w14:textId="77777777" w:rsidR="00A65B1F" w:rsidRDefault="00A65B1F"/>
    <w:p w14:paraId="4C91F51C" w14:textId="77777777" w:rsidR="00A65B1F" w:rsidRDefault="00A65B1F"/>
    <w:p w14:paraId="48CDD857" w14:textId="42BACC45" w:rsidR="00A65B1F" w:rsidRDefault="00A65B1F">
      <w:r>
        <w:t>Study Title:</w:t>
      </w:r>
    </w:p>
    <w:p w14:paraId="72291788" w14:textId="77777777" w:rsidR="00A65B1F" w:rsidRDefault="00A65B1F"/>
    <w:p w14:paraId="07A14FC5" w14:textId="69B81CB8" w:rsidR="00A65B1F" w:rsidRDefault="00A65B1F">
      <w:r>
        <w:t>IRB</w:t>
      </w:r>
      <w:r w:rsidR="003036BD">
        <w:t xml:space="preserve"> Control</w:t>
      </w:r>
      <w:bookmarkStart w:id="0" w:name="_GoBack"/>
      <w:bookmarkEnd w:id="0"/>
      <w:r>
        <w:t xml:space="preserve"> #:</w:t>
      </w:r>
    </w:p>
    <w:p w14:paraId="29A798F0" w14:textId="0CCD32C0" w:rsidR="00A65B1F" w:rsidRDefault="00A65B1F">
      <w:r>
        <w:t>Sponsor:</w:t>
      </w:r>
    </w:p>
    <w:p w14:paraId="4AF3A52C" w14:textId="5BFB628D" w:rsidR="00A65B1F" w:rsidRDefault="00A65B1F">
      <w:r>
        <w:t>Principal Investigator:</w:t>
      </w:r>
    </w:p>
    <w:p w14:paraId="4561168F" w14:textId="38119490" w:rsidR="00A65B1F" w:rsidRDefault="00A65B1F">
      <w:r>
        <w:t>Medical Director:</w:t>
      </w:r>
    </w:p>
    <w:p w14:paraId="7EC99A23" w14:textId="2FB69F45" w:rsidR="00A65B1F" w:rsidRDefault="00A65B1F">
      <w:r>
        <w:t>IND #:</w:t>
      </w:r>
    </w:p>
    <w:p w14:paraId="28E2831D" w14:textId="3D80E936" w:rsidR="00A65B1F" w:rsidRDefault="00A30B9A">
      <w:r>
        <w:t>Date and Version</w:t>
      </w:r>
      <w:r w:rsidR="00A65B1F">
        <w:t>:</w:t>
      </w:r>
    </w:p>
    <w:p w14:paraId="7A41A99C" w14:textId="77777777" w:rsidR="00A65B1F" w:rsidRDefault="00A65B1F"/>
    <w:p w14:paraId="65F686F5" w14:textId="3DA45FBD" w:rsidR="00A65B1F" w:rsidRDefault="00A65B1F" w:rsidP="00A65B1F">
      <w:pPr>
        <w:tabs>
          <w:tab w:val="left" w:pos="3195"/>
        </w:tabs>
      </w:pPr>
      <w:r>
        <w:tab/>
      </w:r>
    </w:p>
    <w:p w14:paraId="3416F278" w14:textId="77777777" w:rsidR="00A65B1F" w:rsidRDefault="00A65B1F" w:rsidP="00A65B1F">
      <w:pPr>
        <w:tabs>
          <w:tab w:val="left" w:pos="3195"/>
        </w:tabs>
      </w:pPr>
    </w:p>
    <w:p w14:paraId="6D85D807" w14:textId="1547A7AD" w:rsidR="00A65B1F" w:rsidRPr="00A14868" w:rsidRDefault="00A14868" w:rsidP="00A14868">
      <w:pPr>
        <w:pStyle w:val="ListParagraph"/>
        <w:numPr>
          <w:ilvl w:val="0"/>
          <w:numId w:val="1"/>
        </w:numPr>
        <w:tabs>
          <w:tab w:val="left" w:pos="3195"/>
        </w:tabs>
        <w:ind w:hanging="720"/>
        <w:rPr>
          <w:b/>
          <w:bCs/>
        </w:rPr>
      </w:pPr>
      <w:r w:rsidRPr="00A14868">
        <w:rPr>
          <w:b/>
          <w:bCs/>
        </w:rPr>
        <w:lastRenderedPageBreak/>
        <w:t>TABLE OF CONTENTS</w:t>
      </w:r>
    </w:p>
    <w:p w14:paraId="093D71E9" w14:textId="2688C919" w:rsidR="00A14868" w:rsidRDefault="00A14868" w:rsidP="00A14868">
      <w:pPr>
        <w:tabs>
          <w:tab w:val="left" w:pos="3195"/>
        </w:tabs>
      </w:pPr>
      <w:r>
        <w:t>Abbreviations…………………………………………………………………………………….</w:t>
      </w:r>
    </w:p>
    <w:p w14:paraId="4CA0B582" w14:textId="067ABE02" w:rsidR="00A14868" w:rsidRDefault="00A14868" w:rsidP="00A14868">
      <w:pPr>
        <w:tabs>
          <w:tab w:val="left" w:pos="3195"/>
        </w:tabs>
      </w:pPr>
      <w:r>
        <w:t>Monitoring………………………………………………………………………………………..</w:t>
      </w:r>
    </w:p>
    <w:p w14:paraId="4534582E" w14:textId="4B53C68C" w:rsidR="00A14868" w:rsidRDefault="00A14868" w:rsidP="00A14868">
      <w:pPr>
        <w:tabs>
          <w:tab w:val="left" w:pos="3195"/>
        </w:tabs>
      </w:pPr>
      <w:r>
        <w:t>Monitoring Roles……………………………………………………………………………….</w:t>
      </w:r>
    </w:p>
    <w:p w14:paraId="35456E89" w14:textId="72E60819" w:rsidR="00A14868" w:rsidRDefault="00A14868" w:rsidP="00A14868">
      <w:pPr>
        <w:tabs>
          <w:tab w:val="left" w:pos="3195"/>
        </w:tabs>
      </w:pPr>
      <w:r>
        <w:t>Sponsor Monitor-------------------------------------------------------------------------</w:t>
      </w:r>
    </w:p>
    <w:p w14:paraId="6D06048B" w14:textId="3093D54F" w:rsidR="00A14868" w:rsidRDefault="00A14868" w:rsidP="00A14868">
      <w:pPr>
        <w:tabs>
          <w:tab w:val="left" w:pos="3195"/>
        </w:tabs>
      </w:pPr>
      <w:r>
        <w:t>Site Initiation Visit (SIV)………………………………………………………………………</w:t>
      </w:r>
    </w:p>
    <w:p w14:paraId="4D3CBE75" w14:textId="188E5C9C" w:rsidR="00A14868" w:rsidRDefault="00A14868" w:rsidP="00A14868">
      <w:pPr>
        <w:tabs>
          <w:tab w:val="left" w:pos="3195"/>
        </w:tabs>
      </w:pPr>
      <w:r>
        <w:t>Timing and Frequency of Monitoring Visits……………………………………………</w:t>
      </w:r>
    </w:p>
    <w:p w14:paraId="58B279A6" w14:textId="2FC09B02" w:rsidR="00A14868" w:rsidRDefault="00A14868" w:rsidP="00A14868">
      <w:pPr>
        <w:tabs>
          <w:tab w:val="left" w:pos="3195"/>
        </w:tabs>
      </w:pPr>
      <w:r>
        <w:t>Monitoring Visit Scheduling……………………………………………………………….</w:t>
      </w:r>
    </w:p>
    <w:p w14:paraId="385E4B8A" w14:textId="513C07EA" w:rsidR="00A14868" w:rsidRDefault="00A14868" w:rsidP="00A14868">
      <w:pPr>
        <w:tabs>
          <w:tab w:val="left" w:pos="3195"/>
        </w:tabs>
      </w:pPr>
      <w:r>
        <w:t>Monitoring Visit Procedures………………………………………………………………</w:t>
      </w:r>
    </w:p>
    <w:p w14:paraId="6C80C1C6" w14:textId="7E7422A0" w:rsidR="00A14868" w:rsidRDefault="00A14868" w:rsidP="00A14868">
      <w:pPr>
        <w:tabs>
          <w:tab w:val="left" w:pos="3195"/>
        </w:tabs>
      </w:pPr>
      <w:r>
        <w:t>Monitoring Log………………………………………………………………………………..</w:t>
      </w:r>
    </w:p>
    <w:p w14:paraId="577CFCD1" w14:textId="6AFD538C" w:rsidR="00A14868" w:rsidRDefault="00A14868" w:rsidP="00A14868">
      <w:pPr>
        <w:tabs>
          <w:tab w:val="left" w:pos="3195"/>
        </w:tabs>
      </w:pPr>
      <w:r>
        <w:t>Monitoring Visit Report (MVR)……………………………………………………………</w:t>
      </w:r>
    </w:p>
    <w:p w14:paraId="73EB0799" w14:textId="449581D8" w:rsidR="00A14868" w:rsidRDefault="00A14868" w:rsidP="00A14868">
      <w:pPr>
        <w:tabs>
          <w:tab w:val="left" w:pos="3195"/>
        </w:tabs>
      </w:pPr>
      <w:r>
        <w:t>Communicating Safety Concerns………………………………………………………</w:t>
      </w:r>
    </w:p>
    <w:p w14:paraId="280559ED" w14:textId="7BEB160D" w:rsidR="00A14868" w:rsidRDefault="00A14868" w:rsidP="00A14868">
      <w:pPr>
        <w:tabs>
          <w:tab w:val="left" w:pos="3195"/>
        </w:tabs>
      </w:pPr>
      <w:r>
        <w:t>Medical Director……………………………………………………………………………..</w:t>
      </w:r>
    </w:p>
    <w:p w14:paraId="6BE0EB54" w14:textId="77777777" w:rsidR="00A14868" w:rsidRDefault="00A14868" w:rsidP="00A14868">
      <w:pPr>
        <w:tabs>
          <w:tab w:val="left" w:pos="3195"/>
        </w:tabs>
      </w:pPr>
    </w:p>
    <w:p w14:paraId="538D9FA9" w14:textId="77777777" w:rsidR="00A14868" w:rsidRDefault="00A14868" w:rsidP="00A14868">
      <w:pPr>
        <w:tabs>
          <w:tab w:val="left" w:pos="3195"/>
        </w:tabs>
      </w:pPr>
    </w:p>
    <w:p w14:paraId="6BE3A338" w14:textId="77777777" w:rsidR="00A14868" w:rsidRDefault="00A14868" w:rsidP="00A14868">
      <w:pPr>
        <w:tabs>
          <w:tab w:val="left" w:pos="3195"/>
        </w:tabs>
      </w:pPr>
    </w:p>
    <w:p w14:paraId="7BAC96D6" w14:textId="77777777" w:rsidR="00A14868" w:rsidRDefault="00A14868" w:rsidP="00A14868">
      <w:pPr>
        <w:tabs>
          <w:tab w:val="left" w:pos="3195"/>
        </w:tabs>
      </w:pPr>
    </w:p>
    <w:p w14:paraId="16B5925C" w14:textId="77777777" w:rsidR="00A14868" w:rsidRDefault="00A14868" w:rsidP="00A14868">
      <w:pPr>
        <w:tabs>
          <w:tab w:val="left" w:pos="3195"/>
        </w:tabs>
      </w:pPr>
    </w:p>
    <w:p w14:paraId="3580E9D6" w14:textId="77777777" w:rsidR="00A14868" w:rsidRDefault="00A14868" w:rsidP="00A14868">
      <w:pPr>
        <w:tabs>
          <w:tab w:val="left" w:pos="3195"/>
        </w:tabs>
      </w:pPr>
    </w:p>
    <w:p w14:paraId="26738544" w14:textId="77777777" w:rsidR="00A14868" w:rsidRDefault="00A14868" w:rsidP="00A14868">
      <w:pPr>
        <w:tabs>
          <w:tab w:val="left" w:pos="3195"/>
        </w:tabs>
      </w:pPr>
    </w:p>
    <w:p w14:paraId="0F7F7C19" w14:textId="77777777" w:rsidR="00A14868" w:rsidRDefault="00A14868" w:rsidP="00A14868">
      <w:pPr>
        <w:tabs>
          <w:tab w:val="left" w:pos="3195"/>
        </w:tabs>
      </w:pPr>
    </w:p>
    <w:p w14:paraId="30865049" w14:textId="77777777" w:rsidR="00A14868" w:rsidRDefault="00A14868" w:rsidP="00A14868">
      <w:pPr>
        <w:tabs>
          <w:tab w:val="left" w:pos="3195"/>
        </w:tabs>
      </w:pPr>
    </w:p>
    <w:p w14:paraId="69041DD9" w14:textId="77777777" w:rsidR="00A14868" w:rsidRDefault="00A14868" w:rsidP="00A14868">
      <w:pPr>
        <w:tabs>
          <w:tab w:val="left" w:pos="3195"/>
        </w:tabs>
      </w:pPr>
    </w:p>
    <w:p w14:paraId="5A0542F4" w14:textId="77777777" w:rsidR="00A14868" w:rsidRDefault="00A14868" w:rsidP="00A14868">
      <w:pPr>
        <w:tabs>
          <w:tab w:val="left" w:pos="3195"/>
        </w:tabs>
      </w:pPr>
    </w:p>
    <w:p w14:paraId="210B2473" w14:textId="77777777" w:rsidR="00A14868" w:rsidRDefault="00A14868" w:rsidP="00A14868">
      <w:pPr>
        <w:tabs>
          <w:tab w:val="left" w:pos="3195"/>
        </w:tabs>
      </w:pPr>
    </w:p>
    <w:p w14:paraId="7238D2F1" w14:textId="77777777" w:rsidR="00A14868" w:rsidRDefault="00A14868" w:rsidP="00A14868">
      <w:pPr>
        <w:tabs>
          <w:tab w:val="left" w:pos="3195"/>
        </w:tabs>
      </w:pPr>
    </w:p>
    <w:p w14:paraId="122D7485" w14:textId="77777777" w:rsidR="00A14868" w:rsidRDefault="00A14868" w:rsidP="00A14868">
      <w:pPr>
        <w:tabs>
          <w:tab w:val="left" w:pos="3195"/>
        </w:tabs>
      </w:pPr>
    </w:p>
    <w:p w14:paraId="316D49D2" w14:textId="77777777" w:rsidR="00A14868" w:rsidRDefault="00A14868" w:rsidP="00A14868">
      <w:pPr>
        <w:tabs>
          <w:tab w:val="left" w:pos="3195"/>
        </w:tabs>
      </w:pPr>
    </w:p>
    <w:p w14:paraId="00AF39D3" w14:textId="77777777" w:rsidR="00A14868" w:rsidRDefault="00A14868" w:rsidP="00A14868">
      <w:pPr>
        <w:tabs>
          <w:tab w:val="left" w:pos="3195"/>
        </w:tabs>
      </w:pPr>
    </w:p>
    <w:p w14:paraId="2DA07B05" w14:textId="4DB1FF4A" w:rsidR="00A14868" w:rsidRPr="00A14868" w:rsidRDefault="00A14868" w:rsidP="00A14868">
      <w:pPr>
        <w:pStyle w:val="ListParagraph"/>
        <w:numPr>
          <w:ilvl w:val="0"/>
          <w:numId w:val="1"/>
        </w:numPr>
        <w:tabs>
          <w:tab w:val="left" w:pos="3195"/>
        </w:tabs>
        <w:ind w:hanging="720"/>
        <w:rPr>
          <w:color w:val="00B050"/>
        </w:rPr>
      </w:pPr>
      <w:r w:rsidRPr="00A14868">
        <w:rPr>
          <w:b/>
          <w:bCs/>
        </w:rPr>
        <w:lastRenderedPageBreak/>
        <w:t>ABBREVIATIONS</w:t>
      </w:r>
      <w:r>
        <w:rPr>
          <w:b/>
          <w:bCs/>
        </w:rPr>
        <w:t xml:space="preserve"> </w:t>
      </w:r>
      <w:r w:rsidRPr="00A14868">
        <w:rPr>
          <w:color w:val="00B050"/>
        </w:rPr>
        <w:t xml:space="preserve"> (delete any which are not pertinent</w:t>
      </w:r>
      <w:r w:rsidR="00F51A94">
        <w:rPr>
          <w:color w:val="00B050"/>
        </w:rPr>
        <w:t xml:space="preserve"> and add any that are specific to plan</w:t>
      </w:r>
      <w:r w:rsidRPr="00A14868">
        <w:rPr>
          <w:color w:val="00B050"/>
        </w:rPr>
        <w:t>)</w:t>
      </w:r>
    </w:p>
    <w:p w14:paraId="6C026906" w14:textId="5E563A49" w:rsidR="00A14868" w:rsidRDefault="00A14868" w:rsidP="00D03104">
      <w:pPr>
        <w:tabs>
          <w:tab w:val="left" w:pos="3195"/>
        </w:tabs>
        <w:spacing w:after="0" w:line="240" w:lineRule="auto"/>
      </w:pPr>
      <w:r>
        <w:t>Adverse Event (AE)</w:t>
      </w:r>
    </w:p>
    <w:p w14:paraId="1B862D34" w14:textId="4C3CCDA2" w:rsidR="00A14868" w:rsidRDefault="00A14868" w:rsidP="00D03104">
      <w:pPr>
        <w:tabs>
          <w:tab w:val="left" w:pos="3195"/>
        </w:tabs>
        <w:spacing w:after="0" w:line="240" w:lineRule="auto"/>
      </w:pPr>
      <w:r>
        <w:t>Case Report Form (CRF)</w:t>
      </w:r>
    </w:p>
    <w:p w14:paraId="2CD198FE" w14:textId="30747AA0" w:rsidR="00A14868" w:rsidRDefault="00A14868" w:rsidP="00D03104">
      <w:pPr>
        <w:tabs>
          <w:tab w:val="left" w:pos="3195"/>
        </w:tabs>
        <w:spacing w:after="0" w:line="240" w:lineRule="auto"/>
      </w:pPr>
      <w:r>
        <w:t>Curriculum Vitae (CV</w:t>
      </w:r>
    </w:p>
    <w:p w14:paraId="7D257503" w14:textId="12845AFA" w:rsidR="00A14868" w:rsidRDefault="00A14868" w:rsidP="00D03104">
      <w:pPr>
        <w:tabs>
          <w:tab w:val="left" w:pos="3195"/>
        </w:tabs>
        <w:spacing w:after="0" w:line="240" w:lineRule="auto"/>
      </w:pPr>
      <w:r>
        <w:t>Data Safety Monitoring Plan (DMSP)</w:t>
      </w:r>
    </w:p>
    <w:p w14:paraId="56C46BF1" w14:textId="6938A990" w:rsidR="00A14868" w:rsidRDefault="00A14868" w:rsidP="00D03104">
      <w:pPr>
        <w:tabs>
          <w:tab w:val="left" w:pos="3195"/>
        </w:tabs>
        <w:spacing w:after="0" w:line="240" w:lineRule="auto"/>
      </w:pPr>
      <w:r>
        <w:t>Delegation of Authority (DoA) log</w:t>
      </w:r>
    </w:p>
    <w:p w14:paraId="1E8035F1" w14:textId="7D05B039" w:rsidR="00A14868" w:rsidRDefault="00A14868" w:rsidP="00D03104">
      <w:pPr>
        <w:tabs>
          <w:tab w:val="left" w:pos="3195"/>
        </w:tabs>
        <w:spacing w:after="0" w:line="240" w:lineRule="auto"/>
      </w:pPr>
      <w:r>
        <w:t>Electronic Case Report Form (eCRF)</w:t>
      </w:r>
    </w:p>
    <w:p w14:paraId="1C568B63" w14:textId="757E0C8C" w:rsidR="002A1C95" w:rsidRDefault="000F2A99" w:rsidP="00D03104">
      <w:pPr>
        <w:tabs>
          <w:tab w:val="left" w:pos="3195"/>
        </w:tabs>
        <w:spacing w:after="0" w:line="240" w:lineRule="auto"/>
      </w:pPr>
      <w:r>
        <w:t>Electronic Medical Record (EMR</w:t>
      </w:r>
      <w:r w:rsidR="002A1C95">
        <w:t>)</w:t>
      </w:r>
    </w:p>
    <w:p w14:paraId="0C0E5614" w14:textId="4560A64F" w:rsidR="00F51A94" w:rsidRDefault="00F51A94" w:rsidP="00D03104">
      <w:pPr>
        <w:tabs>
          <w:tab w:val="left" w:pos="3195"/>
        </w:tabs>
        <w:spacing w:after="0" w:line="240" w:lineRule="auto"/>
      </w:pPr>
      <w:r>
        <w:t>Good Clinical Practice (GCP)</w:t>
      </w:r>
    </w:p>
    <w:p w14:paraId="49B570CC" w14:textId="5AEC9573" w:rsidR="00F51A94" w:rsidRDefault="00F51A94" w:rsidP="00D03104">
      <w:pPr>
        <w:tabs>
          <w:tab w:val="left" w:pos="3195"/>
        </w:tabs>
        <w:spacing w:after="0" w:line="240" w:lineRule="auto"/>
      </w:pPr>
      <w:r>
        <w:t>Informed Consent Form (ICF)</w:t>
      </w:r>
    </w:p>
    <w:p w14:paraId="24E0DDD9" w14:textId="56C9B85B" w:rsidR="00F51A94" w:rsidRDefault="00F51A94" w:rsidP="00D03104">
      <w:pPr>
        <w:tabs>
          <w:tab w:val="left" w:pos="3195"/>
        </w:tabs>
        <w:spacing w:after="0" w:line="240" w:lineRule="auto"/>
      </w:pPr>
      <w:r>
        <w:t>Institutional Review Board (IRB)</w:t>
      </w:r>
    </w:p>
    <w:p w14:paraId="26F6C22A" w14:textId="2C384775" w:rsidR="00F51A94" w:rsidRDefault="00F51A94" w:rsidP="00D03104">
      <w:pPr>
        <w:tabs>
          <w:tab w:val="left" w:pos="3195"/>
        </w:tabs>
        <w:spacing w:after="0" w:line="240" w:lineRule="auto"/>
      </w:pPr>
      <w:r>
        <w:t>Investigational New Drug (IND)</w:t>
      </w:r>
    </w:p>
    <w:p w14:paraId="32E33651" w14:textId="6F728256" w:rsidR="00F51A94" w:rsidRDefault="00F51A94" w:rsidP="00D03104">
      <w:pPr>
        <w:tabs>
          <w:tab w:val="left" w:pos="3195"/>
        </w:tabs>
        <w:spacing w:after="0" w:line="240" w:lineRule="auto"/>
      </w:pPr>
      <w:r>
        <w:t>Investigator’s Brochure (IB)</w:t>
      </w:r>
    </w:p>
    <w:p w14:paraId="51B52BC8" w14:textId="2165CCC5" w:rsidR="00F51A94" w:rsidRDefault="00F51A94" w:rsidP="00D03104">
      <w:pPr>
        <w:tabs>
          <w:tab w:val="left" w:pos="3195"/>
        </w:tabs>
        <w:spacing w:after="0" w:line="240" w:lineRule="auto"/>
      </w:pPr>
      <w:r>
        <w:t>Monitoring Visit Report (MVR)</w:t>
      </w:r>
    </w:p>
    <w:p w14:paraId="533C8B06" w14:textId="2EC0426C" w:rsidR="00F51A94" w:rsidRDefault="00F51A94" w:rsidP="00D03104">
      <w:pPr>
        <w:tabs>
          <w:tab w:val="left" w:pos="3195"/>
        </w:tabs>
        <w:spacing w:after="0" w:line="240" w:lineRule="auto"/>
      </w:pPr>
      <w:r>
        <w:t>Principal Investigator (PI)</w:t>
      </w:r>
      <w:r>
        <w:br/>
        <w:t>Serious Adverse Event (SAE)</w:t>
      </w:r>
      <w:r>
        <w:br/>
        <w:t>Site Initiation Visit (SIV)</w:t>
      </w:r>
      <w:r>
        <w:br/>
        <w:t>Standard Operating Procedures (SOP)</w:t>
      </w:r>
      <w:r>
        <w:br/>
        <w:t>Trial Master File (TMF)</w:t>
      </w:r>
    </w:p>
    <w:p w14:paraId="2BFD6C31" w14:textId="77777777" w:rsidR="00F51A94" w:rsidRDefault="00F51A94" w:rsidP="00F51A94">
      <w:pPr>
        <w:tabs>
          <w:tab w:val="left" w:pos="3195"/>
        </w:tabs>
        <w:spacing w:line="360" w:lineRule="auto"/>
      </w:pPr>
    </w:p>
    <w:p w14:paraId="23386F23" w14:textId="77777777" w:rsidR="00F51A94" w:rsidRDefault="00F51A94" w:rsidP="00F51A94">
      <w:pPr>
        <w:tabs>
          <w:tab w:val="left" w:pos="3195"/>
        </w:tabs>
        <w:spacing w:line="360" w:lineRule="auto"/>
      </w:pPr>
    </w:p>
    <w:p w14:paraId="40311328" w14:textId="77777777" w:rsidR="00F51A94" w:rsidRDefault="00F51A94" w:rsidP="00F51A94">
      <w:pPr>
        <w:tabs>
          <w:tab w:val="left" w:pos="3195"/>
        </w:tabs>
        <w:spacing w:line="360" w:lineRule="auto"/>
      </w:pPr>
    </w:p>
    <w:p w14:paraId="0D7B1B34" w14:textId="77777777" w:rsidR="00F51A94" w:rsidRDefault="00F51A94" w:rsidP="00F51A94">
      <w:pPr>
        <w:tabs>
          <w:tab w:val="left" w:pos="3195"/>
        </w:tabs>
        <w:spacing w:line="360" w:lineRule="auto"/>
      </w:pPr>
    </w:p>
    <w:p w14:paraId="184572EE" w14:textId="77777777" w:rsidR="00F51A94" w:rsidRDefault="00F51A94" w:rsidP="00F51A94">
      <w:pPr>
        <w:tabs>
          <w:tab w:val="left" w:pos="3195"/>
        </w:tabs>
        <w:spacing w:line="360" w:lineRule="auto"/>
      </w:pPr>
    </w:p>
    <w:p w14:paraId="0B69520D" w14:textId="77777777" w:rsidR="00F51A94" w:rsidRDefault="00F51A94" w:rsidP="00F51A94">
      <w:pPr>
        <w:tabs>
          <w:tab w:val="left" w:pos="3195"/>
        </w:tabs>
        <w:spacing w:line="360" w:lineRule="auto"/>
      </w:pPr>
    </w:p>
    <w:p w14:paraId="040F0621" w14:textId="77777777" w:rsidR="00F51A94" w:rsidRDefault="00F51A94" w:rsidP="00F51A94">
      <w:pPr>
        <w:tabs>
          <w:tab w:val="left" w:pos="3195"/>
        </w:tabs>
        <w:spacing w:line="360" w:lineRule="auto"/>
      </w:pPr>
    </w:p>
    <w:p w14:paraId="523EF6E2" w14:textId="75E8E39A" w:rsidR="00F51A94" w:rsidRDefault="00F51A94" w:rsidP="00F51A94">
      <w:pPr>
        <w:tabs>
          <w:tab w:val="left" w:pos="3195"/>
        </w:tabs>
        <w:spacing w:line="360" w:lineRule="auto"/>
      </w:pPr>
    </w:p>
    <w:p w14:paraId="02709438" w14:textId="33F2D2D4" w:rsidR="00E321F5" w:rsidRDefault="00E321F5" w:rsidP="00F51A94">
      <w:pPr>
        <w:tabs>
          <w:tab w:val="left" w:pos="3195"/>
        </w:tabs>
        <w:spacing w:line="360" w:lineRule="auto"/>
      </w:pPr>
    </w:p>
    <w:p w14:paraId="058EE87C" w14:textId="5679A2E1" w:rsidR="00E321F5" w:rsidRDefault="00E321F5" w:rsidP="00F51A94">
      <w:pPr>
        <w:tabs>
          <w:tab w:val="left" w:pos="3195"/>
        </w:tabs>
        <w:spacing w:line="360" w:lineRule="auto"/>
      </w:pPr>
    </w:p>
    <w:p w14:paraId="136A76AB" w14:textId="76574B4B" w:rsidR="00E321F5" w:rsidRDefault="00E321F5" w:rsidP="00F51A94">
      <w:pPr>
        <w:tabs>
          <w:tab w:val="left" w:pos="3195"/>
        </w:tabs>
        <w:spacing w:line="360" w:lineRule="auto"/>
      </w:pPr>
    </w:p>
    <w:p w14:paraId="0DF07FE6" w14:textId="5E675393" w:rsidR="00E321F5" w:rsidRDefault="00E321F5" w:rsidP="00F51A94">
      <w:pPr>
        <w:tabs>
          <w:tab w:val="left" w:pos="3195"/>
        </w:tabs>
        <w:spacing w:line="360" w:lineRule="auto"/>
      </w:pPr>
    </w:p>
    <w:p w14:paraId="3CFE1102" w14:textId="79DF5510" w:rsidR="00E321F5" w:rsidRDefault="00E321F5" w:rsidP="00F51A94">
      <w:pPr>
        <w:tabs>
          <w:tab w:val="left" w:pos="3195"/>
        </w:tabs>
        <w:spacing w:line="360" w:lineRule="auto"/>
      </w:pPr>
    </w:p>
    <w:p w14:paraId="07CF30C4" w14:textId="77777777" w:rsidR="00E321F5" w:rsidRDefault="00E321F5" w:rsidP="00F51A94">
      <w:pPr>
        <w:tabs>
          <w:tab w:val="left" w:pos="3195"/>
        </w:tabs>
        <w:spacing w:line="360" w:lineRule="auto"/>
      </w:pPr>
    </w:p>
    <w:p w14:paraId="029D1905" w14:textId="5E346EFC" w:rsidR="00F51A94" w:rsidRPr="00F51A94" w:rsidRDefault="00F51A94" w:rsidP="00F51A94">
      <w:pPr>
        <w:pStyle w:val="ListParagraph"/>
        <w:numPr>
          <w:ilvl w:val="0"/>
          <w:numId w:val="1"/>
        </w:numPr>
        <w:tabs>
          <w:tab w:val="left" w:pos="3195"/>
        </w:tabs>
        <w:spacing w:line="360" w:lineRule="auto"/>
        <w:ind w:hanging="720"/>
        <w:rPr>
          <w:b/>
          <w:bCs/>
        </w:rPr>
      </w:pPr>
      <w:r w:rsidRPr="00F51A94">
        <w:rPr>
          <w:b/>
          <w:bCs/>
        </w:rPr>
        <w:lastRenderedPageBreak/>
        <w:t>M</w:t>
      </w:r>
      <w:r w:rsidR="00274B1B">
        <w:rPr>
          <w:b/>
          <w:bCs/>
        </w:rPr>
        <w:t>ONITORING</w:t>
      </w:r>
    </w:p>
    <w:p w14:paraId="6E6EF4D8" w14:textId="58306973" w:rsidR="00F51A94" w:rsidRDefault="00F51A94" w:rsidP="00F51A94">
      <w:pPr>
        <w:tabs>
          <w:tab w:val="left" w:pos="3195"/>
        </w:tabs>
        <w:spacing w:line="360" w:lineRule="auto"/>
      </w:pPr>
      <w:r>
        <w:t>This is a risk based monitoring plan.  Monitoring varies with study size and complexity.</w:t>
      </w:r>
    </w:p>
    <w:p w14:paraId="4232A8FB" w14:textId="6E552217" w:rsidR="00F51A94" w:rsidRDefault="00F51A94" w:rsidP="00F51A94">
      <w:pPr>
        <w:tabs>
          <w:tab w:val="left" w:pos="3195"/>
        </w:tabs>
        <w:spacing w:line="360" w:lineRule="auto"/>
      </w:pPr>
      <w:r>
        <w:t>The purpose is to:</w:t>
      </w:r>
    </w:p>
    <w:p w14:paraId="39B17F01" w14:textId="4D81A9A8" w:rsidR="00F51A94" w:rsidRDefault="00F51A94" w:rsidP="00F51A94">
      <w:pPr>
        <w:pStyle w:val="ListParagraph"/>
        <w:numPr>
          <w:ilvl w:val="0"/>
          <w:numId w:val="2"/>
        </w:numPr>
        <w:tabs>
          <w:tab w:val="left" w:pos="3195"/>
        </w:tabs>
        <w:spacing w:line="360" w:lineRule="auto"/>
      </w:pPr>
      <w:r>
        <w:t xml:space="preserve">Ensure the safety of </w:t>
      </w:r>
      <w:r w:rsidR="0099435F">
        <w:t>participant</w:t>
      </w:r>
      <w:r>
        <w:t>s and the protection of their rights</w:t>
      </w:r>
    </w:p>
    <w:p w14:paraId="41675F76" w14:textId="46C02F57" w:rsidR="00F51A94" w:rsidRDefault="00F51A94" w:rsidP="00F51A94">
      <w:pPr>
        <w:pStyle w:val="ListParagraph"/>
        <w:numPr>
          <w:ilvl w:val="0"/>
          <w:numId w:val="2"/>
        </w:numPr>
        <w:tabs>
          <w:tab w:val="left" w:pos="3195"/>
        </w:tabs>
        <w:spacing w:line="360" w:lineRule="auto"/>
      </w:pPr>
      <w:r>
        <w:t xml:space="preserve">Ensure </w:t>
      </w:r>
      <w:r w:rsidR="0099435F">
        <w:t>q</w:t>
      </w:r>
      <w:r>
        <w:t>uality and integrity of data</w:t>
      </w:r>
    </w:p>
    <w:p w14:paraId="47D588EF" w14:textId="43260B26" w:rsidR="00F51A94" w:rsidRDefault="00F51A94" w:rsidP="00F51A94">
      <w:pPr>
        <w:pStyle w:val="ListParagraph"/>
        <w:numPr>
          <w:ilvl w:val="0"/>
          <w:numId w:val="2"/>
        </w:numPr>
        <w:tabs>
          <w:tab w:val="left" w:pos="3195"/>
        </w:tabs>
        <w:spacing w:line="360" w:lineRule="auto"/>
      </w:pPr>
      <w:r>
        <w:t>Provide a consistent approach to study conduct</w:t>
      </w:r>
    </w:p>
    <w:p w14:paraId="34177DE9" w14:textId="68360069" w:rsidR="00F51A94" w:rsidRDefault="00F51A94" w:rsidP="00F51A94">
      <w:pPr>
        <w:tabs>
          <w:tab w:val="left" w:pos="3195"/>
        </w:tabs>
        <w:spacing w:line="276" w:lineRule="auto"/>
      </w:pPr>
      <w:r>
        <w:t>The study should adhere to the requirements described in the protocol, Good Clinical Practices (GCPs), the International Conference on Harmonization (ICH), applicable government regulations, and sponsor Standard Operating Procedures (SOPs).</w:t>
      </w:r>
    </w:p>
    <w:p w14:paraId="7CAE0C6C" w14:textId="65795186" w:rsidR="00F51A94" w:rsidRPr="00F51A94" w:rsidRDefault="00274B1B" w:rsidP="00F51A94">
      <w:pPr>
        <w:pStyle w:val="ListParagraph"/>
        <w:numPr>
          <w:ilvl w:val="0"/>
          <w:numId w:val="1"/>
        </w:numPr>
        <w:tabs>
          <w:tab w:val="left" w:pos="3195"/>
        </w:tabs>
        <w:spacing w:line="360" w:lineRule="auto"/>
        <w:ind w:hanging="720"/>
        <w:rPr>
          <w:b/>
          <w:bCs/>
        </w:rPr>
      </w:pPr>
      <w:r>
        <w:rPr>
          <w:b/>
          <w:bCs/>
        </w:rPr>
        <w:t>MONITORING ROLES</w:t>
      </w:r>
    </w:p>
    <w:p w14:paraId="2FAE0D26" w14:textId="5D7BCA0F" w:rsidR="00F51A94" w:rsidRDefault="00F51A94" w:rsidP="00F51A94">
      <w:pPr>
        <w:tabs>
          <w:tab w:val="left" w:pos="3195"/>
        </w:tabs>
        <w:spacing w:line="360" w:lineRule="auto"/>
      </w:pPr>
      <w:r>
        <w:t xml:space="preserve">Sponsor Monitor </w:t>
      </w:r>
    </w:p>
    <w:p w14:paraId="2EEB088E" w14:textId="35B22C85" w:rsidR="00F51A94" w:rsidRDefault="00F51A94" w:rsidP="00F51A94">
      <w:pPr>
        <w:tabs>
          <w:tab w:val="left" w:pos="3195"/>
        </w:tabs>
        <w:spacing w:line="276" w:lineRule="auto"/>
      </w:pPr>
      <w:r>
        <w:t>The sponsor appoints a qualified monitor to review the completion and accuracy of the study data, documents, and activities.  The monitor must be qualified by education, experience, and or training on GCPs.</w:t>
      </w:r>
    </w:p>
    <w:p w14:paraId="175E9CC2" w14:textId="46A2040A" w:rsidR="00F51A94" w:rsidRDefault="00F51A94" w:rsidP="00F51A94">
      <w:pPr>
        <w:tabs>
          <w:tab w:val="left" w:pos="3195"/>
        </w:tabs>
        <w:spacing w:line="276" w:lineRule="auto"/>
      </w:pPr>
      <w:r>
        <w:t>Tasks include:</w:t>
      </w:r>
    </w:p>
    <w:p w14:paraId="1D38FDB4" w14:textId="2E6FA5F4" w:rsidR="00F51A94" w:rsidRDefault="00F51A94" w:rsidP="00274B1B">
      <w:pPr>
        <w:pStyle w:val="ListParagraph"/>
        <w:numPr>
          <w:ilvl w:val="0"/>
          <w:numId w:val="3"/>
        </w:numPr>
        <w:tabs>
          <w:tab w:val="left" w:pos="3195"/>
        </w:tabs>
        <w:spacing w:line="276" w:lineRule="auto"/>
      </w:pPr>
      <w:r>
        <w:t>Performing monitoring procedures as defined in this document</w:t>
      </w:r>
    </w:p>
    <w:p w14:paraId="4F484F5B" w14:textId="304B9072" w:rsidR="00F51A94" w:rsidRDefault="00F51A94" w:rsidP="00274B1B">
      <w:pPr>
        <w:pStyle w:val="ListParagraph"/>
        <w:numPr>
          <w:ilvl w:val="0"/>
          <w:numId w:val="3"/>
        </w:numPr>
        <w:tabs>
          <w:tab w:val="left" w:pos="3195"/>
        </w:tabs>
        <w:spacing w:line="276" w:lineRule="auto"/>
      </w:pPr>
      <w:r>
        <w:t>Educating the Principal Investigator team members on adherence to the protocol and relevant GCPs.</w:t>
      </w:r>
    </w:p>
    <w:p w14:paraId="0AEC3419" w14:textId="090AC1A1" w:rsidR="00F51A94" w:rsidRDefault="00F51A94" w:rsidP="00274B1B">
      <w:pPr>
        <w:pStyle w:val="ListParagraph"/>
        <w:numPr>
          <w:ilvl w:val="0"/>
          <w:numId w:val="3"/>
        </w:numPr>
        <w:tabs>
          <w:tab w:val="left" w:pos="3195"/>
        </w:tabs>
        <w:spacing w:line="276" w:lineRule="auto"/>
      </w:pPr>
      <w:r>
        <w:t>Performing site monitoring visits at intervals defined in this document</w:t>
      </w:r>
    </w:p>
    <w:p w14:paraId="796B3309" w14:textId="695CC20A" w:rsidR="00F51A94" w:rsidRDefault="00F51A94" w:rsidP="00274B1B">
      <w:pPr>
        <w:pStyle w:val="ListParagraph"/>
        <w:numPr>
          <w:ilvl w:val="0"/>
          <w:numId w:val="3"/>
        </w:numPr>
        <w:tabs>
          <w:tab w:val="left" w:pos="3195"/>
        </w:tabs>
        <w:spacing w:line="276" w:lineRule="auto"/>
      </w:pPr>
      <w:r>
        <w:t>Providing monitoring visit reports to PI</w:t>
      </w:r>
      <w:r w:rsidR="00274B1B">
        <w:t xml:space="preserve"> and sponsor</w:t>
      </w:r>
    </w:p>
    <w:p w14:paraId="2720E8B0" w14:textId="6C7CCD3F" w:rsidR="00274B1B" w:rsidRDefault="00274B1B" w:rsidP="00274B1B">
      <w:pPr>
        <w:pStyle w:val="ListParagraph"/>
        <w:numPr>
          <w:ilvl w:val="0"/>
          <w:numId w:val="3"/>
        </w:numPr>
        <w:tabs>
          <w:tab w:val="left" w:pos="3195"/>
        </w:tabs>
        <w:spacing w:line="276" w:lineRule="auto"/>
      </w:pPr>
      <w:r>
        <w:t>Reviewing significant findings with the PI and sponsor</w:t>
      </w:r>
    </w:p>
    <w:p w14:paraId="0B19C8B1" w14:textId="57A5EFB4" w:rsidR="00274B1B" w:rsidRDefault="00274B1B" w:rsidP="00274B1B">
      <w:pPr>
        <w:pStyle w:val="ListParagraph"/>
        <w:numPr>
          <w:ilvl w:val="0"/>
          <w:numId w:val="3"/>
        </w:numPr>
        <w:tabs>
          <w:tab w:val="left" w:pos="3195"/>
        </w:tabs>
        <w:spacing w:line="276" w:lineRule="auto"/>
      </w:pPr>
      <w:r>
        <w:t>Communicating safety and/or data concerns to team members in a timely manner</w:t>
      </w:r>
    </w:p>
    <w:p w14:paraId="081EDA24" w14:textId="147F9399" w:rsidR="00274B1B" w:rsidRDefault="00274B1B" w:rsidP="00274B1B">
      <w:pPr>
        <w:pStyle w:val="ListParagraph"/>
        <w:numPr>
          <w:ilvl w:val="0"/>
          <w:numId w:val="3"/>
        </w:numPr>
        <w:tabs>
          <w:tab w:val="left" w:pos="3195"/>
        </w:tabs>
        <w:spacing w:line="276" w:lineRule="auto"/>
      </w:pPr>
      <w:r>
        <w:t>Working with the study team to address findings</w:t>
      </w:r>
    </w:p>
    <w:p w14:paraId="342DC96B" w14:textId="089018AE" w:rsidR="00274B1B" w:rsidRDefault="00274B1B" w:rsidP="00274B1B">
      <w:pPr>
        <w:pStyle w:val="ListParagraph"/>
        <w:numPr>
          <w:ilvl w:val="0"/>
          <w:numId w:val="3"/>
        </w:numPr>
        <w:tabs>
          <w:tab w:val="left" w:pos="3195"/>
        </w:tabs>
        <w:spacing w:line="276" w:lineRule="auto"/>
      </w:pPr>
      <w:r>
        <w:t>Participating in the SIV</w:t>
      </w:r>
    </w:p>
    <w:p w14:paraId="3B3A0618" w14:textId="025523B5" w:rsidR="00274B1B" w:rsidRDefault="00274B1B" w:rsidP="00274B1B">
      <w:pPr>
        <w:tabs>
          <w:tab w:val="left" w:pos="3195"/>
        </w:tabs>
        <w:spacing w:line="276" w:lineRule="auto"/>
      </w:pPr>
      <w:r>
        <w:t>The monitor must be trained prior to providing monitoring oversite.  Training documents include:</w:t>
      </w:r>
    </w:p>
    <w:p w14:paraId="2F46C2D5" w14:textId="02CA0F7F" w:rsidR="00274B1B" w:rsidRDefault="00274B1B" w:rsidP="00274B1B">
      <w:pPr>
        <w:tabs>
          <w:tab w:val="left" w:pos="3195"/>
        </w:tabs>
        <w:spacing w:line="276" w:lineRule="auto"/>
      </w:pPr>
      <w:r>
        <w:t>Data Safety Monitoring Plan and/or Monitoring Plan</w:t>
      </w:r>
    </w:p>
    <w:p w14:paraId="37ECE851" w14:textId="2B364FC8" w:rsidR="00274B1B" w:rsidRDefault="00274B1B" w:rsidP="00274B1B">
      <w:pPr>
        <w:tabs>
          <w:tab w:val="left" w:pos="3195"/>
        </w:tabs>
        <w:spacing w:line="276" w:lineRule="auto"/>
      </w:pPr>
      <w:r>
        <w:t>Associated Study Documents</w:t>
      </w:r>
    </w:p>
    <w:p w14:paraId="49B4C31F" w14:textId="3065965B" w:rsidR="00274B1B" w:rsidRDefault="00274B1B" w:rsidP="00274B1B">
      <w:pPr>
        <w:pStyle w:val="ListParagraph"/>
        <w:numPr>
          <w:ilvl w:val="0"/>
          <w:numId w:val="4"/>
        </w:numPr>
        <w:tabs>
          <w:tab w:val="left" w:pos="3195"/>
        </w:tabs>
        <w:spacing w:line="276" w:lineRule="auto"/>
      </w:pPr>
      <w:r>
        <w:t>Protocol</w:t>
      </w:r>
    </w:p>
    <w:p w14:paraId="3263BEF6" w14:textId="0F080B20" w:rsidR="00274B1B" w:rsidRDefault="00274B1B" w:rsidP="00274B1B">
      <w:pPr>
        <w:pStyle w:val="ListParagraph"/>
        <w:numPr>
          <w:ilvl w:val="0"/>
          <w:numId w:val="4"/>
        </w:numPr>
        <w:tabs>
          <w:tab w:val="left" w:pos="3195"/>
        </w:tabs>
        <w:spacing w:line="276" w:lineRule="auto"/>
      </w:pPr>
      <w:r>
        <w:t>ICFs</w:t>
      </w:r>
    </w:p>
    <w:p w14:paraId="7B613B73" w14:textId="71DBFA13" w:rsidR="00274B1B" w:rsidRDefault="00274B1B" w:rsidP="00274B1B">
      <w:pPr>
        <w:pStyle w:val="ListParagraph"/>
        <w:numPr>
          <w:ilvl w:val="0"/>
          <w:numId w:val="4"/>
        </w:numPr>
        <w:tabs>
          <w:tab w:val="left" w:pos="3195"/>
        </w:tabs>
        <w:spacing w:line="276" w:lineRule="auto"/>
      </w:pPr>
      <w:r>
        <w:t>CRFs</w:t>
      </w:r>
    </w:p>
    <w:p w14:paraId="3DAEBFE1" w14:textId="190ACDE8" w:rsidR="00274B1B" w:rsidRDefault="00274B1B" w:rsidP="00274B1B">
      <w:pPr>
        <w:pStyle w:val="ListParagraph"/>
        <w:numPr>
          <w:ilvl w:val="0"/>
          <w:numId w:val="4"/>
        </w:numPr>
        <w:tabs>
          <w:tab w:val="left" w:pos="3195"/>
        </w:tabs>
        <w:spacing w:line="276" w:lineRule="auto"/>
      </w:pPr>
      <w:r>
        <w:t>SOPs</w:t>
      </w:r>
    </w:p>
    <w:p w14:paraId="5670E4B8" w14:textId="7BD7FEC0" w:rsidR="00274B1B" w:rsidRDefault="00274B1B" w:rsidP="00274B1B">
      <w:pPr>
        <w:pStyle w:val="ListParagraph"/>
        <w:numPr>
          <w:ilvl w:val="0"/>
          <w:numId w:val="4"/>
        </w:numPr>
        <w:tabs>
          <w:tab w:val="left" w:pos="3195"/>
        </w:tabs>
        <w:spacing w:line="276" w:lineRule="auto"/>
      </w:pPr>
      <w:r>
        <w:t>Investigator Brochure</w:t>
      </w:r>
    </w:p>
    <w:p w14:paraId="2854F7B9" w14:textId="77777777" w:rsidR="00BD3391" w:rsidRDefault="00BD3391" w:rsidP="00BD3391">
      <w:pPr>
        <w:tabs>
          <w:tab w:val="left" w:pos="3195"/>
        </w:tabs>
        <w:spacing w:line="276" w:lineRule="auto"/>
      </w:pPr>
    </w:p>
    <w:p w14:paraId="1E8121A8" w14:textId="2AD92FA6" w:rsidR="00274B1B" w:rsidRPr="00274B1B" w:rsidRDefault="00274B1B" w:rsidP="002A1C95">
      <w:pPr>
        <w:pStyle w:val="ListParagraph"/>
        <w:numPr>
          <w:ilvl w:val="0"/>
          <w:numId w:val="1"/>
        </w:numPr>
        <w:tabs>
          <w:tab w:val="left" w:pos="3195"/>
        </w:tabs>
        <w:spacing w:line="276" w:lineRule="auto"/>
        <w:ind w:hanging="720"/>
        <w:rPr>
          <w:b/>
          <w:bCs/>
        </w:rPr>
      </w:pPr>
      <w:r w:rsidRPr="00274B1B">
        <w:rPr>
          <w:b/>
          <w:bCs/>
        </w:rPr>
        <w:lastRenderedPageBreak/>
        <w:t xml:space="preserve">SITE INITIATION VISIT </w:t>
      </w:r>
    </w:p>
    <w:p w14:paraId="1242E1B2" w14:textId="16C912B9" w:rsidR="00274B1B" w:rsidRDefault="00274B1B" w:rsidP="00274B1B">
      <w:pPr>
        <w:tabs>
          <w:tab w:val="left" w:pos="3195"/>
        </w:tabs>
        <w:spacing w:line="276" w:lineRule="auto"/>
      </w:pPr>
      <w:r>
        <w:t>The sponsor and designees conduct the site initiation visit training.  At this meeting the sponsor instructs the PI on the obligations of undertaking the clinical trial.  Training points include:</w:t>
      </w:r>
    </w:p>
    <w:p w14:paraId="3D7A6413" w14:textId="1BB5EBAB" w:rsidR="00274B1B" w:rsidRDefault="00274B1B" w:rsidP="00274B1B">
      <w:pPr>
        <w:pStyle w:val="ListParagraph"/>
        <w:numPr>
          <w:ilvl w:val="0"/>
          <w:numId w:val="5"/>
        </w:numPr>
        <w:tabs>
          <w:tab w:val="left" w:pos="3195"/>
        </w:tabs>
        <w:spacing w:line="276" w:lineRule="auto"/>
      </w:pPr>
      <w:r>
        <w:t>Protocol review</w:t>
      </w:r>
    </w:p>
    <w:p w14:paraId="0D071125" w14:textId="5BC08E54" w:rsidR="00274B1B" w:rsidRDefault="00274B1B" w:rsidP="00274B1B">
      <w:pPr>
        <w:pStyle w:val="ListParagraph"/>
        <w:numPr>
          <w:ilvl w:val="0"/>
          <w:numId w:val="5"/>
        </w:numPr>
        <w:tabs>
          <w:tab w:val="left" w:pos="3195"/>
        </w:tabs>
        <w:spacing w:line="276" w:lineRule="auto"/>
      </w:pPr>
      <w:r>
        <w:t>Regulations</w:t>
      </w:r>
    </w:p>
    <w:p w14:paraId="61C682A8" w14:textId="151592EE" w:rsidR="00274B1B" w:rsidRDefault="00274B1B" w:rsidP="00274B1B">
      <w:pPr>
        <w:pStyle w:val="ListParagraph"/>
        <w:numPr>
          <w:ilvl w:val="0"/>
          <w:numId w:val="5"/>
        </w:numPr>
        <w:tabs>
          <w:tab w:val="left" w:pos="3195"/>
        </w:tabs>
        <w:spacing w:line="276" w:lineRule="auto"/>
      </w:pPr>
      <w:r>
        <w:t>Informed consent process and expectations</w:t>
      </w:r>
    </w:p>
    <w:p w14:paraId="116CDDD2" w14:textId="26837A1D" w:rsidR="00274B1B" w:rsidRDefault="0099435F" w:rsidP="00274B1B">
      <w:pPr>
        <w:pStyle w:val="ListParagraph"/>
        <w:numPr>
          <w:ilvl w:val="0"/>
          <w:numId w:val="5"/>
        </w:numPr>
        <w:tabs>
          <w:tab w:val="left" w:pos="3195"/>
        </w:tabs>
        <w:spacing w:line="276" w:lineRule="auto"/>
      </w:pPr>
      <w:r>
        <w:t>Participant</w:t>
      </w:r>
      <w:r w:rsidR="00274B1B">
        <w:t xml:space="preserve"> recruitment </w:t>
      </w:r>
    </w:p>
    <w:p w14:paraId="4778DCC6" w14:textId="7F3C6E3D" w:rsidR="00274B1B" w:rsidRDefault="00274B1B" w:rsidP="00274B1B">
      <w:pPr>
        <w:pStyle w:val="ListParagraph"/>
        <w:numPr>
          <w:ilvl w:val="0"/>
          <w:numId w:val="5"/>
        </w:numPr>
        <w:tabs>
          <w:tab w:val="left" w:pos="3195"/>
        </w:tabs>
        <w:spacing w:line="276" w:lineRule="auto"/>
      </w:pPr>
      <w:r>
        <w:t>IRB obligations</w:t>
      </w:r>
    </w:p>
    <w:p w14:paraId="3C8C6744" w14:textId="6F045D9A" w:rsidR="00274B1B" w:rsidRDefault="00274B1B" w:rsidP="00274B1B">
      <w:pPr>
        <w:pStyle w:val="ListParagraph"/>
        <w:numPr>
          <w:ilvl w:val="0"/>
          <w:numId w:val="5"/>
        </w:numPr>
        <w:tabs>
          <w:tab w:val="left" w:pos="3195"/>
        </w:tabs>
        <w:spacing w:line="276" w:lineRule="auto"/>
      </w:pPr>
      <w:r>
        <w:t>Safety reporting</w:t>
      </w:r>
    </w:p>
    <w:p w14:paraId="4F20CACF" w14:textId="0A86AE4A" w:rsidR="00274B1B" w:rsidRDefault="00274B1B" w:rsidP="00274B1B">
      <w:pPr>
        <w:pStyle w:val="ListParagraph"/>
        <w:numPr>
          <w:ilvl w:val="0"/>
          <w:numId w:val="5"/>
        </w:numPr>
        <w:tabs>
          <w:tab w:val="left" w:pos="3195"/>
        </w:tabs>
        <w:spacing w:line="276" w:lineRule="auto"/>
      </w:pPr>
      <w:r>
        <w:t>Communication between investigator and sponsor</w:t>
      </w:r>
    </w:p>
    <w:p w14:paraId="0011EE09" w14:textId="7EE7477F" w:rsidR="00274B1B" w:rsidRDefault="00274B1B" w:rsidP="00274B1B">
      <w:pPr>
        <w:tabs>
          <w:tab w:val="left" w:pos="3195"/>
        </w:tabs>
        <w:spacing w:line="276" w:lineRule="auto"/>
      </w:pPr>
      <w:r>
        <w:t>After the SIV, the following documentation will be filed in the regulatory file/binder:</w:t>
      </w:r>
    </w:p>
    <w:p w14:paraId="1464318B" w14:textId="6FE6FF4B" w:rsidR="00274B1B" w:rsidRDefault="00274B1B" w:rsidP="00274B1B">
      <w:pPr>
        <w:tabs>
          <w:tab w:val="left" w:pos="3195"/>
        </w:tabs>
        <w:spacing w:line="276" w:lineRule="auto"/>
      </w:pPr>
      <w:r>
        <w:t>Copy of the SIV sign-in sheet</w:t>
      </w:r>
    </w:p>
    <w:p w14:paraId="765037AC" w14:textId="5E62F0B7" w:rsidR="00274B1B" w:rsidRDefault="00274B1B" w:rsidP="00274B1B">
      <w:pPr>
        <w:tabs>
          <w:tab w:val="left" w:pos="3195"/>
        </w:tabs>
        <w:spacing w:line="276" w:lineRule="auto"/>
      </w:pPr>
      <w:r>
        <w:t>Copy of the training materials</w:t>
      </w:r>
    </w:p>
    <w:p w14:paraId="2A059913" w14:textId="5CED2651" w:rsidR="00274B1B" w:rsidRDefault="002A1C95" w:rsidP="00274B1B">
      <w:pPr>
        <w:tabs>
          <w:tab w:val="left" w:pos="3195"/>
        </w:tabs>
        <w:spacing w:line="276" w:lineRule="auto"/>
      </w:pPr>
      <w:r>
        <w:t>Official Activation Notice (sent by the sponsor to the PI after the SIV)</w:t>
      </w:r>
    </w:p>
    <w:p w14:paraId="0D6FC796" w14:textId="7D6B10B3" w:rsidR="002A1C95" w:rsidRPr="002A1C95" w:rsidRDefault="002A1C95" w:rsidP="002A1C95">
      <w:pPr>
        <w:pStyle w:val="ListParagraph"/>
        <w:numPr>
          <w:ilvl w:val="0"/>
          <w:numId w:val="1"/>
        </w:numPr>
        <w:tabs>
          <w:tab w:val="left" w:pos="3195"/>
        </w:tabs>
        <w:spacing w:line="276" w:lineRule="auto"/>
        <w:ind w:hanging="720"/>
        <w:rPr>
          <w:b/>
          <w:bCs/>
        </w:rPr>
      </w:pPr>
      <w:r w:rsidRPr="002A1C95">
        <w:rPr>
          <w:b/>
          <w:bCs/>
        </w:rPr>
        <w:t>TIMING AND FREQUENCY OF MONITORING VISITS</w:t>
      </w:r>
    </w:p>
    <w:p w14:paraId="51888535" w14:textId="77777777" w:rsidR="002A1C95" w:rsidRDefault="002A1C95" w:rsidP="002A1C95">
      <w:pPr>
        <w:pStyle w:val="ListParagraph"/>
        <w:tabs>
          <w:tab w:val="left" w:pos="3195"/>
        </w:tabs>
        <w:spacing w:line="276" w:lineRule="auto"/>
      </w:pPr>
    </w:p>
    <w:p w14:paraId="7DA0A48F" w14:textId="76C29C87" w:rsidR="002A1C95" w:rsidRDefault="002A1C95" w:rsidP="002A1C95">
      <w:pPr>
        <w:pStyle w:val="ListParagraph"/>
        <w:tabs>
          <w:tab w:val="left" w:pos="3195"/>
        </w:tabs>
        <w:spacing w:line="276" w:lineRule="auto"/>
        <w:ind w:left="0"/>
        <w:rPr>
          <w:color w:val="0D0D0D" w:themeColor="text1" w:themeTint="F2"/>
        </w:rPr>
      </w:pPr>
      <w:r>
        <w:t>Monitoring will be performed remotely to the extent possible.  The regulatory binder will be stored</w:t>
      </w:r>
      <w:r w:rsidRPr="002A1C95">
        <w:rPr>
          <w:color w:val="00B050"/>
        </w:rPr>
        <w:t xml:space="preserve"> (in a binder onsite, in Florence </w:t>
      </w:r>
      <w:proofErr w:type="spellStart"/>
      <w:r w:rsidRPr="002A1C95">
        <w:rPr>
          <w:color w:val="00B050"/>
        </w:rPr>
        <w:t>ebinders</w:t>
      </w:r>
      <w:proofErr w:type="spellEnd"/>
      <w:r w:rsidRPr="002A1C95">
        <w:rPr>
          <w:color w:val="00B050"/>
        </w:rPr>
        <w:t xml:space="preserve">, other). </w:t>
      </w:r>
      <w:r>
        <w:rPr>
          <w:color w:val="00B050"/>
        </w:rPr>
        <w:t xml:space="preserve">  </w:t>
      </w:r>
      <w:r w:rsidRPr="002A1C95">
        <w:rPr>
          <w:color w:val="0D0D0D" w:themeColor="text1" w:themeTint="F2"/>
        </w:rPr>
        <w:t xml:space="preserve">The CRFs will be stored in </w:t>
      </w:r>
      <w:r>
        <w:rPr>
          <w:color w:val="00B050"/>
        </w:rPr>
        <w:t xml:space="preserve">(RedCap, other).  </w:t>
      </w:r>
      <w:r w:rsidRPr="002A1C95">
        <w:rPr>
          <w:color w:val="0D0D0D" w:themeColor="text1" w:themeTint="F2"/>
        </w:rPr>
        <w:t xml:space="preserve">Source documentation will be stored on </w:t>
      </w:r>
      <w:r>
        <w:rPr>
          <w:color w:val="0D0D0D" w:themeColor="text1" w:themeTint="F2"/>
        </w:rPr>
        <w:t>(</w:t>
      </w:r>
      <w:r>
        <w:rPr>
          <w:color w:val="00B050"/>
        </w:rPr>
        <w:t xml:space="preserve">paper forms, EPIC </w:t>
      </w:r>
      <w:proofErr w:type="spellStart"/>
      <w:r>
        <w:rPr>
          <w:color w:val="00B050"/>
        </w:rPr>
        <w:t>emr</w:t>
      </w:r>
      <w:proofErr w:type="spellEnd"/>
      <w:r w:rsidR="00700A78">
        <w:rPr>
          <w:color w:val="00B050"/>
        </w:rPr>
        <w:t xml:space="preserve">, Rothman </w:t>
      </w:r>
      <w:proofErr w:type="spellStart"/>
      <w:r w:rsidR="00700A78">
        <w:rPr>
          <w:color w:val="00B050"/>
        </w:rPr>
        <w:t>emr</w:t>
      </w:r>
      <w:proofErr w:type="spellEnd"/>
      <w:r>
        <w:rPr>
          <w:color w:val="00B050"/>
        </w:rPr>
        <w:t xml:space="preserve">).  </w:t>
      </w:r>
      <w:r w:rsidRPr="002A1C95">
        <w:rPr>
          <w:color w:val="0D0D0D" w:themeColor="text1" w:themeTint="F2"/>
        </w:rPr>
        <w:t xml:space="preserve">Review of any electronic records may be done remotely.  </w:t>
      </w:r>
      <w:r>
        <w:rPr>
          <w:color w:val="0D0D0D" w:themeColor="text1" w:themeTint="F2"/>
        </w:rPr>
        <w:t xml:space="preserve">Any records which are kept on paper will be reviewed onsite.  </w:t>
      </w:r>
      <w:r w:rsidRPr="002A1C95">
        <w:rPr>
          <w:color w:val="0D0D0D" w:themeColor="text1" w:themeTint="F2"/>
        </w:rPr>
        <w:t>The site is expected to keep up with data entry with data entered no later than within</w:t>
      </w:r>
      <w:r w:rsidRPr="0099435F">
        <w:rPr>
          <w:color w:val="3A7C22" w:themeColor="accent6" w:themeShade="BF"/>
        </w:rPr>
        <w:t xml:space="preserve"> </w:t>
      </w:r>
      <w:r w:rsidR="0099435F" w:rsidRPr="0099435F">
        <w:rPr>
          <w:color w:val="3A7C22" w:themeColor="accent6" w:themeShade="BF"/>
        </w:rPr>
        <w:t xml:space="preserve">___ </w:t>
      </w:r>
      <w:r w:rsidRPr="002A1C95">
        <w:rPr>
          <w:color w:val="0D0D0D" w:themeColor="text1" w:themeTint="F2"/>
        </w:rPr>
        <w:t>business days.</w:t>
      </w:r>
    </w:p>
    <w:p w14:paraId="4B77E0FE" w14:textId="77777777" w:rsidR="002A1C95" w:rsidRDefault="002A1C95" w:rsidP="002A1C95">
      <w:pPr>
        <w:pStyle w:val="ListParagraph"/>
        <w:tabs>
          <w:tab w:val="left" w:pos="3195"/>
        </w:tabs>
        <w:spacing w:line="276" w:lineRule="auto"/>
        <w:ind w:left="0"/>
        <w:rPr>
          <w:color w:val="0D0D0D" w:themeColor="text1" w:themeTint="F2"/>
        </w:rPr>
      </w:pPr>
    </w:p>
    <w:p w14:paraId="6CAE4D7F" w14:textId="1CA24B37" w:rsidR="002A1C95" w:rsidRDefault="002A1C95" w:rsidP="002A1C95">
      <w:pPr>
        <w:pStyle w:val="ListParagraph"/>
        <w:tabs>
          <w:tab w:val="left" w:pos="3195"/>
        </w:tabs>
        <w:spacing w:line="276" w:lineRule="auto"/>
        <w:ind w:left="0"/>
        <w:rPr>
          <w:color w:val="0D0D0D" w:themeColor="text1" w:themeTint="F2"/>
        </w:rPr>
      </w:pPr>
      <w:r>
        <w:rPr>
          <w:color w:val="0D0D0D" w:themeColor="text1" w:themeTint="F2"/>
        </w:rPr>
        <w:t>The site is expected to provide adequate space, time, staff availability, and tools (copier, printer, etc.) for the monitoring visits.</w:t>
      </w:r>
    </w:p>
    <w:p w14:paraId="1F305A01" w14:textId="77777777" w:rsidR="00700A78" w:rsidRPr="002A1C95" w:rsidRDefault="00700A78" w:rsidP="002A1C95">
      <w:pPr>
        <w:pStyle w:val="ListParagraph"/>
        <w:tabs>
          <w:tab w:val="left" w:pos="3195"/>
        </w:tabs>
        <w:spacing w:line="276" w:lineRule="auto"/>
        <w:ind w:left="0"/>
        <w:rPr>
          <w:color w:val="0D0D0D" w:themeColor="text1" w:themeTint="F2"/>
        </w:rPr>
      </w:pPr>
    </w:p>
    <w:p w14:paraId="0520890B" w14:textId="7F9F1313" w:rsidR="00274B1B" w:rsidRPr="00700A78" w:rsidRDefault="00700A78" w:rsidP="00700A78">
      <w:pPr>
        <w:pStyle w:val="ListParagraph"/>
        <w:numPr>
          <w:ilvl w:val="0"/>
          <w:numId w:val="1"/>
        </w:numPr>
        <w:tabs>
          <w:tab w:val="left" w:pos="3195"/>
        </w:tabs>
        <w:spacing w:line="276" w:lineRule="auto"/>
        <w:ind w:hanging="720"/>
        <w:rPr>
          <w:b/>
          <w:bCs/>
        </w:rPr>
      </w:pPr>
      <w:r w:rsidRPr="00700A78">
        <w:rPr>
          <w:b/>
          <w:bCs/>
        </w:rPr>
        <w:t>MONITORING VISIT SCHEDULING</w:t>
      </w:r>
    </w:p>
    <w:p w14:paraId="316B6218" w14:textId="12EE7481" w:rsidR="00700A78" w:rsidRDefault="00700A78" w:rsidP="00700A78">
      <w:pPr>
        <w:tabs>
          <w:tab w:val="left" w:pos="3195"/>
        </w:tabs>
        <w:spacing w:line="276" w:lineRule="auto"/>
      </w:pPr>
      <w:r>
        <w:t>The monitor must assess the monitoring workload and the expected time required for each visit and schedule the upcoming visit with the study team accordingly.  The duration and/or frequency of each visit may need to be altered to ensure monitoring milestones are met, or at the request of the sponsor.</w:t>
      </w:r>
    </w:p>
    <w:p w14:paraId="2BDDF660" w14:textId="74D5FCAA" w:rsidR="00700A78" w:rsidRDefault="00700A78" w:rsidP="00700A78">
      <w:pPr>
        <w:tabs>
          <w:tab w:val="left" w:pos="3195"/>
        </w:tabs>
        <w:spacing w:line="276" w:lineRule="auto"/>
      </w:pPr>
      <w:r>
        <w:t>At a minimum, monitoring should occur according to the following scheduled:</w:t>
      </w:r>
    </w:p>
    <w:p w14:paraId="66760B01" w14:textId="0DD2A7A8" w:rsidR="00700A78" w:rsidRDefault="00700A78" w:rsidP="00700A78">
      <w:pPr>
        <w:tabs>
          <w:tab w:val="left" w:pos="3195"/>
        </w:tabs>
        <w:spacing w:line="276" w:lineRule="auto"/>
      </w:pPr>
      <w:r>
        <w:t>Onsite monitoring visits should take place</w:t>
      </w:r>
    </w:p>
    <w:p w14:paraId="0DCA834F" w14:textId="350EC616" w:rsidR="00700A78" w:rsidRPr="0099435F" w:rsidRDefault="00700A78" w:rsidP="00700A78">
      <w:pPr>
        <w:pStyle w:val="ListParagraph"/>
        <w:numPr>
          <w:ilvl w:val="0"/>
          <w:numId w:val="6"/>
        </w:numPr>
        <w:tabs>
          <w:tab w:val="left" w:pos="3195"/>
        </w:tabs>
        <w:spacing w:line="276" w:lineRule="auto"/>
      </w:pPr>
      <w:r>
        <w:rPr>
          <w:color w:val="3A7C22" w:themeColor="accent6" w:themeShade="BF"/>
        </w:rPr>
        <w:t>(Use</w:t>
      </w:r>
      <w:r w:rsidRPr="00700A78">
        <w:rPr>
          <w:color w:val="3A7C22" w:themeColor="accent6" w:themeShade="BF"/>
        </w:rPr>
        <w:t xml:space="preserve"> either enrollment target, time interval, or a hybrid depending on the risk and structure of the study</w:t>
      </w:r>
      <w:r>
        <w:rPr>
          <w:color w:val="3A7C22" w:themeColor="accent6" w:themeShade="BF"/>
        </w:rPr>
        <w:t>.  Be sure to allow enough flexibility to accommodate monitor and site scheduling conflicts.)</w:t>
      </w:r>
    </w:p>
    <w:p w14:paraId="1AFB099E" w14:textId="7BEBAD2C" w:rsidR="0099435F" w:rsidRDefault="0099435F" w:rsidP="0099435F">
      <w:pPr>
        <w:tabs>
          <w:tab w:val="left" w:pos="3195"/>
        </w:tabs>
        <w:spacing w:line="276" w:lineRule="auto"/>
      </w:pPr>
      <w:r>
        <w:lastRenderedPageBreak/>
        <w:t xml:space="preserve">The Monitor must make every attempt to schedule visits per the monitoring schedule.  If the monitor is unable to schedule the monitoring visit within the timeframe identified, the monitor must proactively communicate this with the sponsor.  Deviations from the monitoring plan should be communicated to the sponsor as determined in the study-specific roles and responsibilities within </w:t>
      </w:r>
      <w:r w:rsidRPr="0099435F">
        <w:rPr>
          <w:color w:val="3A7C22" w:themeColor="accent6" w:themeShade="BF"/>
        </w:rPr>
        <w:t xml:space="preserve">___ </w:t>
      </w:r>
      <w:r>
        <w:t>business days of identification.</w:t>
      </w:r>
    </w:p>
    <w:p w14:paraId="33312116" w14:textId="372FEFAF" w:rsidR="0099435F" w:rsidRPr="0099435F" w:rsidRDefault="0099435F" w:rsidP="0099435F">
      <w:pPr>
        <w:pStyle w:val="ListParagraph"/>
        <w:numPr>
          <w:ilvl w:val="0"/>
          <w:numId w:val="1"/>
        </w:numPr>
        <w:tabs>
          <w:tab w:val="left" w:pos="3195"/>
        </w:tabs>
        <w:spacing w:line="276" w:lineRule="auto"/>
        <w:ind w:hanging="720"/>
        <w:rPr>
          <w:b/>
          <w:bCs/>
        </w:rPr>
      </w:pPr>
      <w:r w:rsidRPr="0099435F">
        <w:rPr>
          <w:b/>
          <w:bCs/>
        </w:rPr>
        <w:t>MONITORING VISIT PROCEDURES</w:t>
      </w:r>
    </w:p>
    <w:p w14:paraId="36FA30D3" w14:textId="48158495" w:rsidR="0099435F" w:rsidRPr="0099435F" w:rsidRDefault="0099435F" w:rsidP="0099435F">
      <w:pPr>
        <w:tabs>
          <w:tab w:val="left" w:pos="3195"/>
        </w:tabs>
        <w:spacing w:line="276" w:lineRule="auto"/>
        <w:rPr>
          <w:color w:val="3A7C22" w:themeColor="accent6" w:themeShade="BF"/>
        </w:rPr>
      </w:pPr>
      <w:r w:rsidRPr="0099435F">
        <w:rPr>
          <w:color w:val="3A7C22" w:themeColor="accent6" w:themeShade="BF"/>
        </w:rPr>
        <w:t>Best practice is to monitor the following on an ongoing basis.</w:t>
      </w:r>
    </w:p>
    <w:p w14:paraId="27C36FF9" w14:textId="2117F6C0" w:rsidR="0099435F" w:rsidRDefault="0099435F" w:rsidP="00D8318E">
      <w:pPr>
        <w:pStyle w:val="ListParagraph"/>
        <w:numPr>
          <w:ilvl w:val="0"/>
          <w:numId w:val="6"/>
        </w:numPr>
        <w:tabs>
          <w:tab w:val="left" w:pos="3195"/>
        </w:tabs>
        <w:spacing w:line="276" w:lineRule="auto"/>
      </w:pPr>
      <w:r>
        <w:t>Review the informed consent process, including all ICFs to verify consent was obtained in accordance with regulations and guidelines</w:t>
      </w:r>
    </w:p>
    <w:p w14:paraId="59F781CE" w14:textId="2B739900" w:rsidR="0099435F" w:rsidRDefault="0099435F" w:rsidP="00D8318E">
      <w:pPr>
        <w:pStyle w:val="ListParagraph"/>
        <w:numPr>
          <w:ilvl w:val="0"/>
          <w:numId w:val="6"/>
        </w:numPr>
        <w:tabs>
          <w:tab w:val="left" w:pos="3195"/>
        </w:tabs>
        <w:spacing w:line="276" w:lineRule="auto"/>
      </w:pPr>
      <w:r>
        <w:t xml:space="preserve">Review all </w:t>
      </w:r>
      <w:r w:rsidR="00D8318E">
        <w:t>participants</w:t>
      </w:r>
      <w:r>
        <w:t xml:space="preserve">’ eligibility including those who have been withdrawn and verify there is an explanation for each </w:t>
      </w:r>
      <w:proofErr w:type="gramStart"/>
      <w:r>
        <w:t>withdrawal  (</w:t>
      </w:r>
      <w:proofErr w:type="gramEnd"/>
      <w:r>
        <w:t>NOTE: “Participant Decision” is an adequate explanation as participants are not required to give a reason for withdrawal.  Participants may be asked for specific reason.)</w:t>
      </w:r>
    </w:p>
    <w:p w14:paraId="7D478390" w14:textId="41BFBDD0" w:rsidR="00D8318E" w:rsidRDefault="005D26CD" w:rsidP="00D8318E">
      <w:pPr>
        <w:pStyle w:val="ListParagraph"/>
        <w:numPr>
          <w:ilvl w:val="0"/>
          <w:numId w:val="6"/>
        </w:numPr>
        <w:tabs>
          <w:tab w:val="left" w:pos="3195"/>
        </w:tabs>
        <w:spacing w:line="276" w:lineRule="auto"/>
      </w:pPr>
      <w:r>
        <w:t>Verify all study personnel are performing all activities required by the protocol consistent with the Delegation of Authority (DoA) log</w:t>
      </w:r>
    </w:p>
    <w:p w14:paraId="324BA9D8" w14:textId="5E360535" w:rsidR="005D26CD" w:rsidRDefault="005D26CD" w:rsidP="00D8318E">
      <w:pPr>
        <w:pStyle w:val="ListParagraph"/>
        <w:numPr>
          <w:ilvl w:val="0"/>
          <w:numId w:val="6"/>
        </w:numPr>
        <w:tabs>
          <w:tab w:val="left" w:pos="3195"/>
        </w:tabs>
        <w:spacing w:line="276" w:lineRule="auto"/>
      </w:pPr>
      <w:r>
        <w:t>Ensure all adverse events and serious adverse events are captured accurately</w:t>
      </w:r>
    </w:p>
    <w:p w14:paraId="1E81A362" w14:textId="000E0A11" w:rsidR="005D26CD" w:rsidRDefault="005D26CD" w:rsidP="005D26CD">
      <w:pPr>
        <w:pStyle w:val="ListParagraph"/>
        <w:numPr>
          <w:ilvl w:val="1"/>
          <w:numId w:val="6"/>
        </w:numPr>
        <w:tabs>
          <w:tab w:val="left" w:pos="3195"/>
        </w:tabs>
        <w:spacing w:line="276" w:lineRule="auto"/>
      </w:pPr>
      <w:r>
        <w:t>Verify that all AEs/SAEs are recorded and reviewed by a licensed clinician as listed on the Form FDA 1572.  It is required of the PI or licensed Sub-Investigator (SI) to evaluate attribution (relatedness), expectedness, and seriousness</w:t>
      </w:r>
    </w:p>
    <w:p w14:paraId="0EAE7529" w14:textId="1E3520A1" w:rsidR="005D26CD" w:rsidRDefault="005D26CD" w:rsidP="005D26CD">
      <w:pPr>
        <w:pStyle w:val="ListParagraph"/>
        <w:numPr>
          <w:ilvl w:val="1"/>
          <w:numId w:val="6"/>
        </w:numPr>
        <w:tabs>
          <w:tab w:val="left" w:pos="3195"/>
        </w:tabs>
        <w:spacing w:line="276" w:lineRule="auto"/>
      </w:pPr>
      <w:r>
        <w:t>Verify that AEs/SAEs are reported in a timely manner per protocol, sponsor instructions, and local regulatory requirements</w:t>
      </w:r>
    </w:p>
    <w:p w14:paraId="4062AF15" w14:textId="36BF7722" w:rsidR="005D26CD" w:rsidRDefault="005D26CD" w:rsidP="004270F4">
      <w:pPr>
        <w:pStyle w:val="ListParagraph"/>
        <w:numPr>
          <w:ilvl w:val="1"/>
          <w:numId w:val="6"/>
        </w:numPr>
        <w:tabs>
          <w:tab w:val="left" w:pos="3195"/>
        </w:tabs>
        <w:spacing w:line="276" w:lineRule="auto"/>
        <w:ind w:left="900"/>
      </w:pPr>
      <w:r>
        <w:t>Verify investigational product accountability and disposition</w:t>
      </w:r>
    </w:p>
    <w:p w14:paraId="0C6A760F" w14:textId="426727C6" w:rsidR="005D26CD" w:rsidRDefault="005D26CD" w:rsidP="005D26CD">
      <w:pPr>
        <w:pStyle w:val="ListParagraph"/>
        <w:numPr>
          <w:ilvl w:val="2"/>
          <w:numId w:val="6"/>
        </w:numPr>
        <w:tabs>
          <w:tab w:val="left" w:pos="3195"/>
        </w:tabs>
        <w:spacing w:line="276" w:lineRule="auto"/>
        <w:ind w:left="1620"/>
      </w:pPr>
      <w:r>
        <w:t>Dispensed by authorized study personnel</w:t>
      </w:r>
    </w:p>
    <w:p w14:paraId="2B575BEF" w14:textId="0D58DF6D" w:rsidR="005D26CD" w:rsidRDefault="005D26CD" w:rsidP="005D26CD">
      <w:pPr>
        <w:pStyle w:val="ListParagraph"/>
        <w:numPr>
          <w:ilvl w:val="2"/>
          <w:numId w:val="6"/>
        </w:numPr>
        <w:tabs>
          <w:tab w:val="left" w:pos="3195"/>
        </w:tabs>
        <w:spacing w:line="276" w:lineRule="auto"/>
        <w:ind w:left="1620"/>
      </w:pPr>
      <w:r>
        <w:t>Dispensed/administered to an eligible study participant</w:t>
      </w:r>
    </w:p>
    <w:p w14:paraId="3C5926B4" w14:textId="59C26056" w:rsidR="005D26CD" w:rsidRDefault="005D26CD" w:rsidP="005D26CD">
      <w:pPr>
        <w:pStyle w:val="ListParagraph"/>
        <w:numPr>
          <w:ilvl w:val="2"/>
          <w:numId w:val="6"/>
        </w:numPr>
        <w:tabs>
          <w:tab w:val="left" w:pos="3195"/>
        </w:tabs>
        <w:spacing w:line="276" w:lineRule="auto"/>
        <w:ind w:left="1620"/>
      </w:pPr>
      <w:r>
        <w:t>Dispensed/administered at protocol-specific doses and time points</w:t>
      </w:r>
    </w:p>
    <w:p w14:paraId="55466D5F" w14:textId="5AD91CA1" w:rsidR="005D26CD" w:rsidRDefault="005D26CD" w:rsidP="005D26CD">
      <w:pPr>
        <w:pStyle w:val="ListParagraph"/>
        <w:numPr>
          <w:ilvl w:val="2"/>
          <w:numId w:val="6"/>
        </w:numPr>
        <w:tabs>
          <w:tab w:val="left" w:pos="3195"/>
        </w:tabs>
        <w:spacing w:line="276" w:lineRule="auto"/>
        <w:ind w:left="1620"/>
      </w:pPr>
      <w:r>
        <w:t xml:space="preserve">Regulatory binders should include </w:t>
      </w:r>
      <w:r w:rsidR="004270F4">
        <w:t>dispensing</w:t>
      </w:r>
      <w:r>
        <w:t>/administration and disposal logs for products</w:t>
      </w:r>
    </w:p>
    <w:p w14:paraId="7A587F39" w14:textId="1912026A" w:rsidR="005D26CD" w:rsidRDefault="005D26CD" w:rsidP="005D26CD">
      <w:pPr>
        <w:pStyle w:val="ListParagraph"/>
        <w:numPr>
          <w:ilvl w:val="2"/>
          <w:numId w:val="6"/>
        </w:numPr>
        <w:tabs>
          <w:tab w:val="left" w:pos="3195"/>
        </w:tabs>
        <w:spacing w:line="276" w:lineRule="auto"/>
        <w:ind w:left="1620"/>
      </w:pPr>
      <w:r>
        <w:t xml:space="preserve">Product should be disposed of according to </w:t>
      </w:r>
      <w:r w:rsidR="004270F4">
        <w:t>the protocol, pharmacy manual, or SOP</w:t>
      </w:r>
    </w:p>
    <w:p w14:paraId="6DA9D436" w14:textId="545B8F5A" w:rsidR="004270F4" w:rsidRDefault="004270F4" w:rsidP="004270F4">
      <w:pPr>
        <w:pStyle w:val="ListParagraph"/>
        <w:numPr>
          <w:ilvl w:val="2"/>
          <w:numId w:val="6"/>
        </w:numPr>
        <w:tabs>
          <w:tab w:val="left" w:pos="3195"/>
        </w:tabs>
        <w:spacing w:line="276" w:lineRule="auto"/>
        <w:ind w:left="900"/>
      </w:pPr>
      <w:r>
        <w:t xml:space="preserve">Based on an assessment of risk, </w:t>
      </w:r>
      <w:r w:rsidRPr="004270F4">
        <w:rPr>
          <w:color w:val="3A7C22" w:themeColor="accent6" w:themeShade="BF"/>
        </w:rPr>
        <w:t>_______</w:t>
      </w:r>
      <w:r>
        <w:t xml:space="preserve">% source data verification should be conducted for </w:t>
      </w:r>
      <w:r w:rsidRPr="004270F4">
        <w:rPr>
          <w:color w:val="3A7C22" w:themeColor="accent6" w:themeShade="BF"/>
        </w:rPr>
        <w:t>_______</w:t>
      </w:r>
      <w:r>
        <w:t>% of participants.  Based on findings, the sponsor may require a 100% SDV of all participants’ data.</w:t>
      </w:r>
      <w:r w:rsidR="00FE0DDB">
        <w:t xml:space="preserve">  </w:t>
      </w:r>
      <w:r w:rsidR="00FE0DDB" w:rsidRPr="00FE0DDB">
        <w:rPr>
          <w:color w:val="3A7C22" w:themeColor="accent6" w:themeShade="BF"/>
        </w:rPr>
        <w:t xml:space="preserve">100% source data verification is not required.  The percentage of monitored data and what was monitored </w:t>
      </w:r>
      <w:r w:rsidR="00FA13F4">
        <w:rPr>
          <w:color w:val="3A7C22" w:themeColor="accent6" w:themeShade="BF"/>
        </w:rPr>
        <w:t>should be determined based on risk.  For example, 100% of all primary endpoint datapoints and 30% of all secondary endpoints will be monitored or 100% of all primary endpoints and 100% source data verification for every fifth participant.</w:t>
      </w:r>
    </w:p>
    <w:p w14:paraId="3236ED32" w14:textId="59CFEE4C" w:rsidR="004270F4" w:rsidRDefault="004270F4" w:rsidP="004270F4">
      <w:pPr>
        <w:pStyle w:val="ListParagraph"/>
        <w:numPr>
          <w:ilvl w:val="2"/>
          <w:numId w:val="6"/>
        </w:numPr>
        <w:tabs>
          <w:tab w:val="left" w:pos="3195"/>
        </w:tabs>
        <w:spacing w:line="276" w:lineRule="auto"/>
        <w:ind w:left="900"/>
      </w:pPr>
      <w:r>
        <w:t>Regulatory binder</w:t>
      </w:r>
    </w:p>
    <w:p w14:paraId="24EF3495" w14:textId="7469312D" w:rsidR="004270F4" w:rsidRDefault="004270F4" w:rsidP="004270F4">
      <w:pPr>
        <w:pStyle w:val="ListParagraph"/>
        <w:numPr>
          <w:ilvl w:val="2"/>
          <w:numId w:val="6"/>
        </w:numPr>
        <w:tabs>
          <w:tab w:val="left" w:pos="3195"/>
        </w:tabs>
        <w:spacing w:line="276" w:lineRule="auto"/>
        <w:ind w:left="1620" w:hanging="450"/>
      </w:pPr>
      <w:r>
        <w:t>All essential documents (protocol, ICFs, IBs, recruitment materials, and CRF templates)</w:t>
      </w:r>
    </w:p>
    <w:p w14:paraId="7E3AF27C" w14:textId="5E8187AD" w:rsidR="004270F4" w:rsidRDefault="004270F4" w:rsidP="004270F4">
      <w:pPr>
        <w:pStyle w:val="ListParagraph"/>
        <w:numPr>
          <w:ilvl w:val="2"/>
          <w:numId w:val="6"/>
        </w:numPr>
        <w:tabs>
          <w:tab w:val="left" w:pos="3195"/>
        </w:tabs>
        <w:spacing w:line="276" w:lineRule="auto"/>
        <w:ind w:left="1620" w:hanging="450"/>
      </w:pPr>
      <w:r>
        <w:t>IRB submissions, approvals, and correspondence</w:t>
      </w:r>
    </w:p>
    <w:p w14:paraId="49F31C99" w14:textId="612A13D5" w:rsidR="004270F4" w:rsidRDefault="004270F4" w:rsidP="004270F4">
      <w:pPr>
        <w:pStyle w:val="ListParagraph"/>
        <w:numPr>
          <w:ilvl w:val="2"/>
          <w:numId w:val="6"/>
        </w:numPr>
        <w:tabs>
          <w:tab w:val="left" w:pos="1620"/>
        </w:tabs>
        <w:spacing w:line="276" w:lineRule="auto"/>
        <w:ind w:left="900" w:firstLine="270"/>
      </w:pPr>
      <w:r>
        <w:t>Study Personnel files (COIs, CVs, medical licenses</w:t>
      </w:r>
    </w:p>
    <w:p w14:paraId="2ABD02F1" w14:textId="67EFF5BC" w:rsidR="004270F4" w:rsidRDefault="004270F4" w:rsidP="00447DB4">
      <w:pPr>
        <w:pStyle w:val="ListParagraph"/>
        <w:numPr>
          <w:ilvl w:val="2"/>
          <w:numId w:val="6"/>
        </w:numPr>
        <w:tabs>
          <w:tab w:val="left" w:pos="1620"/>
        </w:tabs>
        <w:spacing w:line="276" w:lineRule="auto"/>
        <w:ind w:left="1620" w:hanging="450"/>
      </w:pPr>
      <w:r>
        <w:lastRenderedPageBreak/>
        <w:t>Training records (protocol, amendments, CITI GCP, biomedical research</w:t>
      </w:r>
      <w:r w:rsidR="00447DB4">
        <w:t>, any special procedure training</w:t>
      </w:r>
      <w:r>
        <w:t>)</w:t>
      </w:r>
    </w:p>
    <w:p w14:paraId="71180417" w14:textId="085360A0" w:rsidR="00447DB4" w:rsidRDefault="00447DB4" w:rsidP="00447DB4">
      <w:pPr>
        <w:pStyle w:val="ListParagraph"/>
        <w:numPr>
          <w:ilvl w:val="2"/>
          <w:numId w:val="6"/>
        </w:numPr>
        <w:tabs>
          <w:tab w:val="left" w:pos="1620"/>
        </w:tabs>
        <w:spacing w:line="276" w:lineRule="auto"/>
        <w:ind w:left="1620" w:hanging="450"/>
      </w:pPr>
      <w:r>
        <w:t>Study screening and enrollment logs</w:t>
      </w:r>
    </w:p>
    <w:p w14:paraId="224709ED" w14:textId="58390AE8" w:rsidR="00447DB4" w:rsidRDefault="00447DB4" w:rsidP="00447DB4">
      <w:pPr>
        <w:pStyle w:val="ListParagraph"/>
        <w:numPr>
          <w:ilvl w:val="2"/>
          <w:numId w:val="6"/>
        </w:numPr>
        <w:tabs>
          <w:tab w:val="left" w:pos="1620"/>
        </w:tabs>
        <w:spacing w:line="276" w:lineRule="auto"/>
        <w:ind w:left="1620" w:hanging="450"/>
      </w:pPr>
      <w:r>
        <w:t>Delegation of Authority log</w:t>
      </w:r>
    </w:p>
    <w:p w14:paraId="66191E9E" w14:textId="18117842" w:rsidR="00447DB4" w:rsidRDefault="00447DB4" w:rsidP="00447DB4">
      <w:pPr>
        <w:pStyle w:val="ListParagraph"/>
        <w:numPr>
          <w:ilvl w:val="2"/>
          <w:numId w:val="6"/>
        </w:numPr>
        <w:tabs>
          <w:tab w:val="left" w:pos="1620"/>
        </w:tabs>
        <w:spacing w:line="276" w:lineRule="auto"/>
        <w:ind w:left="1620" w:hanging="450"/>
      </w:pPr>
      <w:r>
        <w:t>1572s</w:t>
      </w:r>
    </w:p>
    <w:p w14:paraId="23C3BC02" w14:textId="73DD08F2" w:rsidR="00447DB4" w:rsidRDefault="00447DB4" w:rsidP="00447DB4">
      <w:pPr>
        <w:pStyle w:val="ListParagraph"/>
        <w:numPr>
          <w:ilvl w:val="2"/>
          <w:numId w:val="6"/>
        </w:numPr>
        <w:tabs>
          <w:tab w:val="left" w:pos="1620"/>
        </w:tabs>
        <w:spacing w:line="276" w:lineRule="auto"/>
        <w:ind w:left="1620" w:hanging="450"/>
      </w:pPr>
      <w:r>
        <w:t>Protocol deviations, exceptions, and unanticipated problems</w:t>
      </w:r>
    </w:p>
    <w:p w14:paraId="67AB38DF" w14:textId="60B67846" w:rsidR="00447DB4" w:rsidRDefault="00447DB4" w:rsidP="00447DB4">
      <w:pPr>
        <w:pStyle w:val="ListParagraph"/>
        <w:numPr>
          <w:ilvl w:val="2"/>
          <w:numId w:val="6"/>
        </w:numPr>
        <w:tabs>
          <w:tab w:val="left" w:pos="1620"/>
        </w:tabs>
        <w:spacing w:line="276" w:lineRule="auto"/>
        <w:ind w:left="1620" w:hanging="450"/>
      </w:pPr>
      <w:r>
        <w:t xml:space="preserve">Timeliness of </w:t>
      </w:r>
      <w:r w:rsidR="00AC0F06">
        <w:t>data entry</w:t>
      </w:r>
    </w:p>
    <w:p w14:paraId="1A435A1E" w14:textId="2757F973" w:rsidR="00AC0F06" w:rsidRDefault="00AC0F06" w:rsidP="00447DB4">
      <w:pPr>
        <w:pStyle w:val="ListParagraph"/>
        <w:numPr>
          <w:ilvl w:val="2"/>
          <w:numId w:val="6"/>
        </w:numPr>
        <w:tabs>
          <w:tab w:val="left" w:pos="1620"/>
        </w:tabs>
        <w:spacing w:line="276" w:lineRule="auto"/>
        <w:ind w:left="1620" w:hanging="450"/>
      </w:pPr>
      <w:r>
        <w:t>Discussion and timely resolution of monitoring findings with PI and study team</w:t>
      </w:r>
    </w:p>
    <w:p w14:paraId="0885332E" w14:textId="5FCFB89D" w:rsidR="00AC0F06" w:rsidRDefault="00AC0F06" w:rsidP="00447DB4">
      <w:pPr>
        <w:pStyle w:val="ListParagraph"/>
        <w:numPr>
          <w:ilvl w:val="2"/>
          <w:numId w:val="6"/>
        </w:numPr>
        <w:tabs>
          <w:tab w:val="left" w:pos="1620"/>
        </w:tabs>
        <w:spacing w:line="276" w:lineRule="auto"/>
        <w:ind w:left="1620" w:hanging="450"/>
      </w:pPr>
      <w:r>
        <w:t>IRB and sponsor reporting requirements</w:t>
      </w:r>
    </w:p>
    <w:p w14:paraId="3B8BEFED" w14:textId="3A4BE411" w:rsidR="00AC0F06" w:rsidRDefault="00AC0F06" w:rsidP="00447DB4">
      <w:pPr>
        <w:pStyle w:val="ListParagraph"/>
        <w:numPr>
          <w:ilvl w:val="2"/>
          <w:numId w:val="6"/>
        </w:numPr>
        <w:tabs>
          <w:tab w:val="left" w:pos="1620"/>
        </w:tabs>
        <w:spacing w:line="276" w:lineRule="auto"/>
        <w:ind w:left="1620" w:hanging="450"/>
      </w:pPr>
      <w:r>
        <w:t>Any safety concerns and reporting procedures</w:t>
      </w:r>
    </w:p>
    <w:p w14:paraId="10157EF7" w14:textId="0B747341" w:rsidR="008573C4" w:rsidRDefault="00AC0F06" w:rsidP="008573C4">
      <w:pPr>
        <w:pStyle w:val="ListParagraph"/>
        <w:numPr>
          <w:ilvl w:val="2"/>
          <w:numId w:val="6"/>
        </w:numPr>
        <w:tabs>
          <w:tab w:val="left" w:pos="1620"/>
        </w:tabs>
        <w:spacing w:line="276" w:lineRule="auto"/>
        <w:ind w:left="1620" w:hanging="450"/>
      </w:pPr>
      <w:r>
        <w:t>Any internal or external audit reports and resolution of findings</w:t>
      </w:r>
    </w:p>
    <w:p w14:paraId="0D762C07" w14:textId="10DA27E3" w:rsidR="008573C4" w:rsidRDefault="008573C4" w:rsidP="008573C4">
      <w:pPr>
        <w:pStyle w:val="ListParagraph"/>
        <w:tabs>
          <w:tab w:val="left" w:pos="1620"/>
        </w:tabs>
        <w:spacing w:line="276" w:lineRule="auto"/>
        <w:ind w:left="900"/>
      </w:pPr>
    </w:p>
    <w:p w14:paraId="7BC55138" w14:textId="33184766" w:rsidR="00F21308" w:rsidRPr="00F21308" w:rsidRDefault="00F21308" w:rsidP="00F21308">
      <w:pPr>
        <w:pStyle w:val="ListParagraph"/>
        <w:numPr>
          <w:ilvl w:val="0"/>
          <w:numId w:val="1"/>
        </w:numPr>
        <w:tabs>
          <w:tab w:val="left" w:pos="1620"/>
        </w:tabs>
        <w:spacing w:line="276" w:lineRule="auto"/>
        <w:rPr>
          <w:b/>
          <w:bCs/>
        </w:rPr>
      </w:pPr>
      <w:r w:rsidRPr="00F21308">
        <w:rPr>
          <w:b/>
          <w:bCs/>
        </w:rPr>
        <w:t>MONITORING LOG</w:t>
      </w:r>
    </w:p>
    <w:p w14:paraId="0CA1B7E3" w14:textId="59603ACF" w:rsidR="00F21308" w:rsidRDefault="00F21308" w:rsidP="00F21308">
      <w:pPr>
        <w:tabs>
          <w:tab w:val="left" w:pos="1620"/>
        </w:tabs>
        <w:spacing w:line="276" w:lineRule="auto"/>
      </w:pPr>
      <w:r>
        <w:t>The monitoring log will be signed on each day of an onsite monitoring visit.  This is filed in the regulatory binder.</w:t>
      </w:r>
    </w:p>
    <w:p w14:paraId="7D495DD7" w14:textId="320131D1" w:rsidR="00F21308" w:rsidRPr="00F21308" w:rsidRDefault="00F21308" w:rsidP="00F21308">
      <w:pPr>
        <w:pStyle w:val="ListParagraph"/>
        <w:numPr>
          <w:ilvl w:val="0"/>
          <w:numId w:val="1"/>
        </w:numPr>
        <w:tabs>
          <w:tab w:val="left" w:pos="1620"/>
        </w:tabs>
        <w:spacing w:line="276" w:lineRule="auto"/>
        <w:rPr>
          <w:b/>
          <w:bCs/>
        </w:rPr>
      </w:pPr>
      <w:r w:rsidRPr="00F21308">
        <w:rPr>
          <w:b/>
          <w:bCs/>
        </w:rPr>
        <w:t>MONITORING VISIT REPORT (MVR)</w:t>
      </w:r>
    </w:p>
    <w:p w14:paraId="5572D925" w14:textId="1E6E6A18" w:rsidR="00F21308" w:rsidRPr="00F21308" w:rsidRDefault="00F21308" w:rsidP="00F21308">
      <w:pPr>
        <w:tabs>
          <w:tab w:val="left" w:pos="1620"/>
        </w:tabs>
        <w:spacing w:line="276" w:lineRule="auto"/>
        <w:rPr>
          <w:color w:val="000000" w:themeColor="text1"/>
        </w:rPr>
      </w:pPr>
      <w:r>
        <w:t>The monitor prepares the MVR and submits it to the sponsor and the PI.  MVRs should be done within</w:t>
      </w:r>
      <w:r w:rsidRPr="00F21308">
        <w:rPr>
          <w:color w:val="124F1A" w:themeColor="accent3" w:themeShade="BF"/>
        </w:rPr>
        <w:t xml:space="preserve"> _______</w:t>
      </w:r>
      <w:r w:rsidRPr="00F21308">
        <w:rPr>
          <w:color w:val="000000" w:themeColor="text1"/>
        </w:rPr>
        <w:t>business days of the monitoring visit.</w:t>
      </w:r>
    </w:p>
    <w:p w14:paraId="5D93BF4C" w14:textId="6382CAF0" w:rsidR="00F21308" w:rsidRPr="00F21308" w:rsidRDefault="00F21308" w:rsidP="00F21308">
      <w:pPr>
        <w:tabs>
          <w:tab w:val="left" w:pos="1620"/>
        </w:tabs>
        <w:spacing w:line="276" w:lineRule="auto"/>
        <w:rPr>
          <w:color w:val="000000" w:themeColor="text1"/>
        </w:rPr>
      </w:pPr>
      <w:r w:rsidRPr="00F21308">
        <w:rPr>
          <w:color w:val="000000" w:themeColor="text1"/>
        </w:rPr>
        <w:t>The MVR includes:</w:t>
      </w:r>
    </w:p>
    <w:p w14:paraId="23E70B18" w14:textId="7654B89E" w:rsidR="00F21308" w:rsidRPr="00F21308" w:rsidRDefault="00F21308" w:rsidP="00F21308">
      <w:pPr>
        <w:pStyle w:val="ListParagraph"/>
        <w:numPr>
          <w:ilvl w:val="0"/>
          <w:numId w:val="7"/>
        </w:numPr>
        <w:tabs>
          <w:tab w:val="left" w:pos="1620"/>
        </w:tabs>
        <w:spacing w:line="240" w:lineRule="auto"/>
        <w:rPr>
          <w:color w:val="000000" w:themeColor="text1"/>
        </w:rPr>
      </w:pPr>
      <w:r w:rsidRPr="00F21308">
        <w:rPr>
          <w:color w:val="000000" w:themeColor="text1"/>
        </w:rPr>
        <w:t>Date(s) of the visit</w:t>
      </w:r>
    </w:p>
    <w:p w14:paraId="25087C20" w14:textId="5393E40F" w:rsidR="00F21308" w:rsidRDefault="00F21308" w:rsidP="00F21308">
      <w:pPr>
        <w:pStyle w:val="ListParagraph"/>
        <w:numPr>
          <w:ilvl w:val="0"/>
          <w:numId w:val="7"/>
        </w:numPr>
        <w:tabs>
          <w:tab w:val="left" w:pos="1620"/>
        </w:tabs>
        <w:spacing w:line="240" w:lineRule="auto"/>
        <w:rPr>
          <w:color w:val="000000" w:themeColor="text1"/>
        </w:rPr>
      </w:pPr>
      <w:r w:rsidRPr="00F21308">
        <w:rPr>
          <w:color w:val="000000" w:themeColor="text1"/>
        </w:rPr>
        <w:t xml:space="preserve">Name of the monitor </w:t>
      </w:r>
    </w:p>
    <w:p w14:paraId="2D31A791" w14:textId="317526D1" w:rsidR="00927A61" w:rsidRDefault="004D6609" w:rsidP="00F21308">
      <w:pPr>
        <w:pStyle w:val="ListParagraph"/>
        <w:numPr>
          <w:ilvl w:val="0"/>
          <w:numId w:val="7"/>
        </w:numPr>
        <w:tabs>
          <w:tab w:val="left" w:pos="1620"/>
        </w:tabs>
        <w:spacing w:line="240" w:lineRule="auto"/>
        <w:rPr>
          <w:color w:val="000000" w:themeColor="text1"/>
        </w:rPr>
      </w:pPr>
      <w:r>
        <w:rPr>
          <w:color w:val="000000" w:themeColor="text1"/>
        </w:rPr>
        <w:t>Sponsor name</w:t>
      </w:r>
    </w:p>
    <w:p w14:paraId="34336ACA" w14:textId="75DFFC3D"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PI name</w:t>
      </w:r>
    </w:p>
    <w:p w14:paraId="2AB9EDD0" w14:textId="1E8A3AAD"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List of study personnel present during the visit</w:t>
      </w:r>
    </w:p>
    <w:p w14:paraId="0237E073" w14:textId="557198A0"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Summary of what the monitor reviewed</w:t>
      </w:r>
    </w:p>
    <w:p w14:paraId="4DED4AA1" w14:textId="0B1B15F4"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A description of any findin</w:t>
      </w:r>
      <w:r w:rsidR="00AD3B09">
        <w:rPr>
          <w:color w:val="000000" w:themeColor="text1"/>
        </w:rPr>
        <w:t>gs, may be documented in the MVR</w:t>
      </w:r>
      <w:r>
        <w:rPr>
          <w:color w:val="000000" w:themeColor="text1"/>
        </w:rPr>
        <w:t xml:space="preserve"> or in queries in the electronic database, if applicable</w:t>
      </w:r>
    </w:p>
    <w:p w14:paraId="517F2767" w14:textId="23E0ABAE"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Conclusions and actions to be taken by the study team, recommended actions to secure compliance</w:t>
      </w:r>
    </w:p>
    <w:p w14:paraId="5D28CA5A" w14:textId="46D65BCE" w:rsidR="004D6609" w:rsidRDefault="004D6609" w:rsidP="00F21308">
      <w:pPr>
        <w:pStyle w:val="ListParagraph"/>
        <w:numPr>
          <w:ilvl w:val="0"/>
          <w:numId w:val="7"/>
        </w:numPr>
        <w:tabs>
          <w:tab w:val="left" w:pos="1620"/>
        </w:tabs>
        <w:spacing w:line="240" w:lineRule="auto"/>
        <w:rPr>
          <w:color w:val="000000" w:themeColor="text1"/>
        </w:rPr>
      </w:pPr>
      <w:r>
        <w:rPr>
          <w:color w:val="000000" w:themeColor="text1"/>
        </w:rPr>
        <w:t>Resolution and/or follow-up on observations from previous visits</w:t>
      </w:r>
    </w:p>
    <w:p w14:paraId="5665456F" w14:textId="77777777" w:rsidR="004D6609" w:rsidRDefault="004D6609" w:rsidP="004D6609">
      <w:pPr>
        <w:pStyle w:val="ListParagraph"/>
        <w:tabs>
          <w:tab w:val="left" w:pos="1620"/>
        </w:tabs>
        <w:spacing w:line="240" w:lineRule="auto"/>
        <w:rPr>
          <w:color w:val="000000" w:themeColor="text1"/>
        </w:rPr>
      </w:pPr>
    </w:p>
    <w:p w14:paraId="4E83C360" w14:textId="77777777" w:rsidR="00FE0DDB" w:rsidRDefault="004D6609" w:rsidP="004D6609">
      <w:pPr>
        <w:pStyle w:val="ListParagraph"/>
        <w:numPr>
          <w:ilvl w:val="0"/>
          <w:numId w:val="1"/>
        </w:numPr>
        <w:tabs>
          <w:tab w:val="left" w:pos="1620"/>
        </w:tabs>
        <w:spacing w:line="240" w:lineRule="auto"/>
        <w:rPr>
          <w:b/>
          <w:bCs/>
          <w:color w:val="000000" w:themeColor="text1"/>
        </w:rPr>
      </w:pPr>
      <w:r w:rsidRPr="004D6609">
        <w:rPr>
          <w:b/>
          <w:bCs/>
          <w:color w:val="000000" w:themeColor="text1"/>
        </w:rPr>
        <w:t>COMMUNICATING SAFETY CONCERNS</w:t>
      </w:r>
    </w:p>
    <w:p w14:paraId="6920BC7C" w14:textId="77777777" w:rsidR="00FE0DDB" w:rsidRDefault="00FE0DDB" w:rsidP="00FE0DDB">
      <w:pPr>
        <w:pStyle w:val="ListParagraph"/>
        <w:tabs>
          <w:tab w:val="left" w:pos="1620"/>
        </w:tabs>
        <w:spacing w:line="240" w:lineRule="auto"/>
        <w:rPr>
          <w:b/>
          <w:bCs/>
          <w:color w:val="000000" w:themeColor="text1"/>
        </w:rPr>
      </w:pPr>
    </w:p>
    <w:p w14:paraId="604312F1" w14:textId="77777777" w:rsidR="00FE0DDB" w:rsidRDefault="00FE0DDB" w:rsidP="00FE0DDB">
      <w:pPr>
        <w:pStyle w:val="ListParagraph"/>
        <w:tabs>
          <w:tab w:val="left" w:pos="1620"/>
        </w:tabs>
        <w:spacing w:line="240" w:lineRule="auto"/>
        <w:rPr>
          <w:color w:val="000000" w:themeColor="text1"/>
        </w:rPr>
      </w:pPr>
      <w:r w:rsidRPr="00FE0DDB">
        <w:rPr>
          <w:color w:val="000000" w:themeColor="text1"/>
        </w:rPr>
        <w:t xml:space="preserve">Safety concerns </w:t>
      </w:r>
      <w:r>
        <w:rPr>
          <w:color w:val="000000" w:themeColor="text1"/>
        </w:rPr>
        <w:t>must be shared promptly with the sponsor by the monitor.  The monitor must verify that SAEs are reported in a timely manner to the sponsor per protocol, sponsor instructions, and regulatory requirements.</w:t>
      </w:r>
    </w:p>
    <w:p w14:paraId="48F57A51" w14:textId="77777777" w:rsidR="00FE0DDB" w:rsidRDefault="00FE0DDB" w:rsidP="00FE0DDB">
      <w:pPr>
        <w:pStyle w:val="ListParagraph"/>
        <w:tabs>
          <w:tab w:val="left" w:pos="1620"/>
        </w:tabs>
        <w:spacing w:line="240" w:lineRule="auto"/>
        <w:rPr>
          <w:color w:val="000000" w:themeColor="text1"/>
        </w:rPr>
      </w:pPr>
    </w:p>
    <w:p w14:paraId="59410DBE" w14:textId="2FB9124F" w:rsidR="00FE0DDB" w:rsidRPr="00FE0DDB" w:rsidRDefault="00FE0DDB" w:rsidP="00FE0DDB">
      <w:pPr>
        <w:pStyle w:val="ListParagraph"/>
        <w:numPr>
          <w:ilvl w:val="0"/>
          <w:numId w:val="1"/>
        </w:numPr>
        <w:tabs>
          <w:tab w:val="left" w:pos="1620"/>
        </w:tabs>
        <w:spacing w:line="240" w:lineRule="auto"/>
        <w:rPr>
          <w:b/>
          <w:bCs/>
          <w:color w:val="000000" w:themeColor="text1"/>
        </w:rPr>
      </w:pPr>
      <w:r w:rsidRPr="00FE0DDB">
        <w:rPr>
          <w:b/>
          <w:bCs/>
          <w:color w:val="000000" w:themeColor="text1"/>
        </w:rPr>
        <w:t>MANAGING NON-COMPLIANCE</w:t>
      </w:r>
    </w:p>
    <w:p w14:paraId="311CC9EB" w14:textId="77777777" w:rsidR="00FA13F4" w:rsidRDefault="004D6609" w:rsidP="000265AC">
      <w:pPr>
        <w:tabs>
          <w:tab w:val="left" w:pos="1620"/>
        </w:tabs>
        <w:spacing w:line="240" w:lineRule="auto"/>
        <w:rPr>
          <w:color w:val="000000" w:themeColor="text1"/>
        </w:rPr>
      </w:pPr>
      <w:r w:rsidRPr="00FE0DDB">
        <w:rPr>
          <w:color w:val="000000" w:themeColor="text1"/>
        </w:rPr>
        <w:br/>
      </w:r>
      <w:r w:rsidR="00FE0DDB">
        <w:rPr>
          <w:color w:val="000000" w:themeColor="text1"/>
        </w:rPr>
        <w:t>The sponsor must act promptly to resolve non-compliance.  The monitor is expected to remind the site of its responsibilities as documented</w:t>
      </w:r>
      <w:r w:rsidR="00FA13F4">
        <w:rPr>
          <w:color w:val="000000" w:themeColor="text1"/>
        </w:rPr>
        <w:t xml:space="preserve"> in the SIV training materials.  This includes, but is not limited to, reporting AEs/SAEs and protocol deviations as specified in the protocol, keeping up to date with data entry, and responding to monitoring queries/findings.</w:t>
      </w:r>
    </w:p>
    <w:p w14:paraId="6097DAC2" w14:textId="7D2CEC1F" w:rsidR="00FA13F4" w:rsidRPr="00FA13F4" w:rsidRDefault="00FA13F4" w:rsidP="00FA13F4">
      <w:pPr>
        <w:pStyle w:val="ListParagraph"/>
        <w:numPr>
          <w:ilvl w:val="0"/>
          <w:numId w:val="1"/>
        </w:numPr>
        <w:tabs>
          <w:tab w:val="left" w:pos="1620"/>
        </w:tabs>
        <w:spacing w:line="240" w:lineRule="auto"/>
        <w:rPr>
          <w:b/>
          <w:bCs/>
          <w:color w:val="000000" w:themeColor="text1"/>
        </w:rPr>
      </w:pPr>
      <w:r w:rsidRPr="00FA13F4">
        <w:rPr>
          <w:b/>
          <w:bCs/>
          <w:color w:val="000000" w:themeColor="text1"/>
        </w:rPr>
        <w:lastRenderedPageBreak/>
        <w:t>MEDICAL DIRECTOR</w:t>
      </w:r>
    </w:p>
    <w:p w14:paraId="7FF1E00A" w14:textId="542D62C9" w:rsidR="00FA13F4" w:rsidRDefault="00FA13F4" w:rsidP="00FA13F4">
      <w:pPr>
        <w:pStyle w:val="ListParagraph"/>
        <w:tabs>
          <w:tab w:val="left" w:pos="1620"/>
        </w:tabs>
        <w:spacing w:line="240" w:lineRule="auto"/>
        <w:rPr>
          <w:color w:val="000000" w:themeColor="text1"/>
        </w:rPr>
      </w:pPr>
      <w:r>
        <w:rPr>
          <w:color w:val="000000" w:themeColor="text1"/>
        </w:rPr>
        <w:t>Name:</w:t>
      </w:r>
    </w:p>
    <w:p w14:paraId="1153B692" w14:textId="587AD720" w:rsidR="00FA13F4" w:rsidRDefault="00FA13F4" w:rsidP="00FA13F4">
      <w:pPr>
        <w:pStyle w:val="ListParagraph"/>
        <w:tabs>
          <w:tab w:val="left" w:pos="1620"/>
        </w:tabs>
        <w:spacing w:line="240" w:lineRule="auto"/>
        <w:rPr>
          <w:color w:val="000000" w:themeColor="text1"/>
        </w:rPr>
      </w:pPr>
      <w:r>
        <w:rPr>
          <w:color w:val="000000" w:themeColor="text1"/>
        </w:rPr>
        <w:t>Phone:</w:t>
      </w:r>
    </w:p>
    <w:p w14:paraId="2543F817" w14:textId="7CC63654" w:rsidR="00FA13F4" w:rsidRPr="00FA13F4" w:rsidRDefault="00FA13F4" w:rsidP="00FA13F4">
      <w:pPr>
        <w:pStyle w:val="ListParagraph"/>
        <w:tabs>
          <w:tab w:val="left" w:pos="1620"/>
        </w:tabs>
        <w:spacing w:line="240" w:lineRule="auto"/>
        <w:rPr>
          <w:color w:val="000000" w:themeColor="text1"/>
        </w:rPr>
      </w:pPr>
      <w:r>
        <w:rPr>
          <w:color w:val="000000" w:themeColor="text1"/>
        </w:rPr>
        <w:t>Email:</w:t>
      </w:r>
    </w:p>
    <w:p w14:paraId="60BD3EF2" w14:textId="3CB03ACA" w:rsidR="004D6609" w:rsidRPr="00FE0DDB" w:rsidRDefault="00FA13F4" w:rsidP="00FA13F4">
      <w:pPr>
        <w:tabs>
          <w:tab w:val="left" w:pos="1620"/>
        </w:tabs>
        <w:spacing w:line="240" w:lineRule="auto"/>
        <w:ind w:left="450" w:hanging="450"/>
        <w:rPr>
          <w:color w:val="000000" w:themeColor="text1"/>
        </w:rPr>
      </w:pPr>
      <w:r>
        <w:rPr>
          <w:color w:val="000000" w:themeColor="text1"/>
        </w:rPr>
        <w:t xml:space="preserve"> </w:t>
      </w:r>
      <w:r w:rsidR="00FE0DDB">
        <w:rPr>
          <w:color w:val="000000" w:themeColor="text1"/>
        </w:rPr>
        <w:t xml:space="preserve"> </w:t>
      </w:r>
    </w:p>
    <w:p w14:paraId="47E860B9" w14:textId="77777777" w:rsidR="004D6609" w:rsidRPr="004D6609" w:rsidRDefault="004D6609" w:rsidP="004D6609">
      <w:pPr>
        <w:tabs>
          <w:tab w:val="left" w:pos="1620"/>
        </w:tabs>
        <w:spacing w:line="240" w:lineRule="auto"/>
        <w:ind w:left="360"/>
        <w:rPr>
          <w:color w:val="000000" w:themeColor="text1"/>
        </w:rPr>
      </w:pPr>
    </w:p>
    <w:p w14:paraId="3B64EE90" w14:textId="77777777" w:rsidR="004D6609" w:rsidRPr="004D6609" w:rsidRDefault="004D6609" w:rsidP="004D6609">
      <w:pPr>
        <w:tabs>
          <w:tab w:val="left" w:pos="1620"/>
        </w:tabs>
        <w:spacing w:line="240" w:lineRule="auto"/>
        <w:rPr>
          <w:color w:val="000000" w:themeColor="text1"/>
        </w:rPr>
      </w:pPr>
    </w:p>
    <w:p w14:paraId="1C3E63B1" w14:textId="77777777" w:rsidR="00F21308" w:rsidRDefault="00F21308" w:rsidP="00F21308">
      <w:pPr>
        <w:tabs>
          <w:tab w:val="left" w:pos="1620"/>
        </w:tabs>
        <w:spacing w:line="276" w:lineRule="auto"/>
      </w:pPr>
    </w:p>
    <w:p w14:paraId="303A33B3" w14:textId="77777777" w:rsidR="00AC0F06" w:rsidRDefault="00AC0F06" w:rsidP="00AC0F06">
      <w:pPr>
        <w:tabs>
          <w:tab w:val="left" w:pos="1620"/>
        </w:tabs>
        <w:spacing w:line="276" w:lineRule="auto"/>
        <w:ind w:left="1170"/>
      </w:pPr>
    </w:p>
    <w:p w14:paraId="2C8297EF" w14:textId="77777777" w:rsidR="004270F4" w:rsidRDefault="004270F4" w:rsidP="004270F4">
      <w:pPr>
        <w:tabs>
          <w:tab w:val="left" w:pos="3195"/>
        </w:tabs>
        <w:spacing w:line="276" w:lineRule="auto"/>
      </w:pPr>
    </w:p>
    <w:p w14:paraId="6CABA936" w14:textId="77777777" w:rsidR="0099435F" w:rsidRPr="00700A78" w:rsidRDefault="0099435F" w:rsidP="0099435F">
      <w:pPr>
        <w:tabs>
          <w:tab w:val="left" w:pos="3195"/>
        </w:tabs>
        <w:spacing w:line="276" w:lineRule="auto"/>
      </w:pPr>
    </w:p>
    <w:p w14:paraId="1D344E30" w14:textId="77777777" w:rsidR="00700A78" w:rsidRDefault="00700A78" w:rsidP="00F21308">
      <w:pPr>
        <w:pStyle w:val="ListParagraph"/>
        <w:tabs>
          <w:tab w:val="left" w:pos="3195"/>
        </w:tabs>
        <w:spacing w:line="276" w:lineRule="auto"/>
        <w:ind w:left="900"/>
      </w:pPr>
    </w:p>
    <w:p w14:paraId="443C74B7" w14:textId="77777777" w:rsidR="00F51A94" w:rsidRDefault="00F51A94" w:rsidP="00F51A94">
      <w:pPr>
        <w:tabs>
          <w:tab w:val="left" w:pos="3195"/>
        </w:tabs>
        <w:spacing w:line="360" w:lineRule="auto"/>
      </w:pPr>
    </w:p>
    <w:p w14:paraId="64B0E3DA" w14:textId="77777777" w:rsidR="00F51A94" w:rsidRDefault="00F51A94" w:rsidP="00F51A94">
      <w:pPr>
        <w:tabs>
          <w:tab w:val="left" w:pos="3195"/>
        </w:tabs>
        <w:spacing w:line="360" w:lineRule="auto"/>
      </w:pPr>
    </w:p>
    <w:p w14:paraId="44078651" w14:textId="77777777" w:rsidR="00F51A94" w:rsidRDefault="00F51A94" w:rsidP="00F51A94">
      <w:pPr>
        <w:tabs>
          <w:tab w:val="left" w:pos="3195"/>
        </w:tabs>
        <w:spacing w:line="360" w:lineRule="auto"/>
      </w:pPr>
    </w:p>
    <w:p w14:paraId="1F89A386" w14:textId="77777777" w:rsidR="00F51A94" w:rsidRDefault="00F51A94" w:rsidP="00F51A94">
      <w:pPr>
        <w:tabs>
          <w:tab w:val="left" w:pos="3195"/>
        </w:tabs>
        <w:spacing w:line="360" w:lineRule="auto"/>
      </w:pPr>
    </w:p>
    <w:p w14:paraId="6EF34490" w14:textId="77777777" w:rsidR="00A14868" w:rsidRDefault="00A14868" w:rsidP="00A14868">
      <w:pPr>
        <w:tabs>
          <w:tab w:val="left" w:pos="3195"/>
        </w:tabs>
      </w:pPr>
    </w:p>
    <w:p w14:paraId="030EAB56" w14:textId="77777777" w:rsidR="00A14868" w:rsidRDefault="00A14868" w:rsidP="00A14868">
      <w:pPr>
        <w:tabs>
          <w:tab w:val="left" w:pos="3195"/>
        </w:tabs>
      </w:pPr>
    </w:p>
    <w:p w14:paraId="55A35158" w14:textId="77777777" w:rsidR="00A14868" w:rsidRPr="00A65B1F" w:rsidRDefault="00A14868" w:rsidP="00A14868">
      <w:pPr>
        <w:tabs>
          <w:tab w:val="left" w:pos="3195"/>
        </w:tabs>
      </w:pPr>
    </w:p>
    <w:sectPr w:rsidR="00A14868" w:rsidRPr="00A6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DFE"/>
    <w:multiLevelType w:val="hybridMultilevel"/>
    <w:tmpl w:val="D212AA0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C744D28"/>
    <w:multiLevelType w:val="hybridMultilevel"/>
    <w:tmpl w:val="7686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3008C"/>
    <w:multiLevelType w:val="hybridMultilevel"/>
    <w:tmpl w:val="326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F008E"/>
    <w:multiLevelType w:val="hybridMultilevel"/>
    <w:tmpl w:val="019C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F5B7F"/>
    <w:multiLevelType w:val="hybridMultilevel"/>
    <w:tmpl w:val="C64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63505"/>
    <w:multiLevelType w:val="hybridMultilevel"/>
    <w:tmpl w:val="9A6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76AE8"/>
    <w:multiLevelType w:val="hybridMultilevel"/>
    <w:tmpl w:val="7E2E2C0A"/>
    <w:lvl w:ilvl="0" w:tplc="9476E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1F"/>
    <w:rsid w:val="000265AC"/>
    <w:rsid w:val="00047E9D"/>
    <w:rsid w:val="000F2A99"/>
    <w:rsid w:val="00274B1B"/>
    <w:rsid w:val="002A1C95"/>
    <w:rsid w:val="003036BD"/>
    <w:rsid w:val="004270F4"/>
    <w:rsid w:val="00447DB4"/>
    <w:rsid w:val="004D6609"/>
    <w:rsid w:val="004D77CB"/>
    <w:rsid w:val="004F0FC2"/>
    <w:rsid w:val="005D26CD"/>
    <w:rsid w:val="00692C08"/>
    <w:rsid w:val="00700A78"/>
    <w:rsid w:val="00793630"/>
    <w:rsid w:val="008573C4"/>
    <w:rsid w:val="00927A61"/>
    <w:rsid w:val="0099435F"/>
    <w:rsid w:val="00A14868"/>
    <w:rsid w:val="00A30B9A"/>
    <w:rsid w:val="00A65B1F"/>
    <w:rsid w:val="00A9630D"/>
    <w:rsid w:val="00AC0F06"/>
    <w:rsid w:val="00AD3B09"/>
    <w:rsid w:val="00BD3391"/>
    <w:rsid w:val="00D03104"/>
    <w:rsid w:val="00D8318E"/>
    <w:rsid w:val="00DF048C"/>
    <w:rsid w:val="00E06ECA"/>
    <w:rsid w:val="00E321F5"/>
    <w:rsid w:val="00E81F88"/>
    <w:rsid w:val="00F21308"/>
    <w:rsid w:val="00F51A94"/>
    <w:rsid w:val="00FA13F4"/>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70F2"/>
  <w15:chartTrackingRefBased/>
  <w15:docId w15:val="{6389160F-037E-493C-B51E-3BC74A9C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B1F"/>
    <w:rPr>
      <w:rFonts w:eastAsiaTheme="majorEastAsia" w:cstheme="majorBidi"/>
      <w:color w:val="272727" w:themeColor="text1" w:themeTint="D8"/>
    </w:rPr>
  </w:style>
  <w:style w:type="paragraph" w:styleId="Title">
    <w:name w:val="Title"/>
    <w:basedOn w:val="Normal"/>
    <w:next w:val="Normal"/>
    <w:link w:val="TitleChar"/>
    <w:uiPriority w:val="10"/>
    <w:qFormat/>
    <w:rsid w:val="00A65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B1F"/>
    <w:pPr>
      <w:spacing w:before="160"/>
      <w:jc w:val="center"/>
    </w:pPr>
    <w:rPr>
      <w:i/>
      <w:iCs/>
      <w:color w:val="404040" w:themeColor="text1" w:themeTint="BF"/>
    </w:rPr>
  </w:style>
  <w:style w:type="character" w:customStyle="1" w:styleId="QuoteChar">
    <w:name w:val="Quote Char"/>
    <w:basedOn w:val="DefaultParagraphFont"/>
    <w:link w:val="Quote"/>
    <w:uiPriority w:val="29"/>
    <w:rsid w:val="00A65B1F"/>
    <w:rPr>
      <w:i/>
      <w:iCs/>
      <w:color w:val="404040" w:themeColor="text1" w:themeTint="BF"/>
    </w:rPr>
  </w:style>
  <w:style w:type="paragraph" w:styleId="ListParagraph">
    <w:name w:val="List Paragraph"/>
    <w:basedOn w:val="Normal"/>
    <w:uiPriority w:val="34"/>
    <w:qFormat/>
    <w:rsid w:val="00A65B1F"/>
    <w:pPr>
      <w:ind w:left="720"/>
      <w:contextualSpacing/>
    </w:pPr>
  </w:style>
  <w:style w:type="character" w:styleId="IntenseEmphasis">
    <w:name w:val="Intense Emphasis"/>
    <w:basedOn w:val="DefaultParagraphFont"/>
    <w:uiPriority w:val="21"/>
    <w:qFormat/>
    <w:rsid w:val="00A65B1F"/>
    <w:rPr>
      <w:i/>
      <w:iCs/>
      <w:color w:val="0F4761" w:themeColor="accent1" w:themeShade="BF"/>
    </w:rPr>
  </w:style>
  <w:style w:type="paragraph" w:styleId="IntenseQuote">
    <w:name w:val="Intense Quote"/>
    <w:basedOn w:val="Normal"/>
    <w:next w:val="Normal"/>
    <w:link w:val="IntenseQuoteChar"/>
    <w:uiPriority w:val="30"/>
    <w:qFormat/>
    <w:rsid w:val="00A65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B1F"/>
    <w:rPr>
      <w:i/>
      <w:iCs/>
      <w:color w:val="0F4761" w:themeColor="accent1" w:themeShade="BF"/>
    </w:rPr>
  </w:style>
  <w:style w:type="character" w:styleId="IntenseReference">
    <w:name w:val="Intense Reference"/>
    <w:basedOn w:val="DefaultParagraphFont"/>
    <w:uiPriority w:val="32"/>
    <w:qFormat/>
    <w:rsid w:val="00A65B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8</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Zalokoski Monroe</dc:creator>
  <cp:keywords/>
  <dc:description/>
  <cp:lastModifiedBy>Ginevra Park</cp:lastModifiedBy>
  <cp:revision>15</cp:revision>
  <dcterms:created xsi:type="dcterms:W3CDTF">2024-10-07T19:39:00Z</dcterms:created>
  <dcterms:modified xsi:type="dcterms:W3CDTF">2024-12-19T19:37:00Z</dcterms:modified>
</cp:coreProperties>
</file>