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99D4F" w14:textId="77777777" w:rsidR="004461BB" w:rsidRPr="000251A4" w:rsidRDefault="004461BB" w:rsidP="004461BB">
      <w:pPr>
        <w:pStyle w:val="Title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>JEFFERSON</w:t>
      </w:r>
      <w:r w:rsidRPr="000251A4">
        <w:rPr>
          <w:sz w:val="28"/>
          <w:szCs w:val="28"/>
          <w:highlight w:val="lightGray"/>
        </w:rPr>
        <w:t>—Office of Human Research</w:t>
      </w:r>
    </w:p>
    <w:p w14:paraId="1BD3E65F" w14:textId="77777777" w:rsidR="004461BB" w:rsidRPr="004461BB" w:rsidRDefault="004461BB" w:rsidP="004461BB">
      <w:pPr>
        <w:pStyle w:val="Title"/>
        <w:rPr>
          <w:b w:val="0"/>
          <w:sz w:val="28"/>
          <w:szCs w:val="28"/>
          <w:highlight w:val="lightGray"/>
        </w:rPr>
      </w:pPr>
    </w:p>
    <w:p w14:paraId="6400B26B" w14:textId="0262AA9E" w:rsidR="001E330A" w:rsidRDefault="001E330A" w:rsidP="004461BB">
      <w:pPr>
        <w:pStyle w:val="Heading1"/>
        <w:ind w:right="0"/>
        <w:rPr>
          <w:rFonts w:ascii="Times New Roman" w:hAnsi="Times New Roman"/>
        </w:rPr>
      </w:pPr>
      <w:r w:rsidRPr="004461BB">
        <w:rPr>
          <w:rFonts w:ascii="Times New Roman" w:hAnsi="Times New Roman"/>
        </w:rPr>
        <w:t>DECIS</w:t>
      </w:r>
      <w:r w:rsidR="006349BA" w:rsidRPr="004461BB">
        <w:rPr>
          <w:rFonts w:ascii="Times New Roman" w:hAnsi="Times New Roman"/>
        </w:rPr>
        <w:t xml:space="preserve">ION TOOL – IS IT </w:t>
      </w:r>
      <w:r w:rsidR="009D49F0" w:rsidRPr="004461BB">
        <w:rPr>
          <w:rFonts w:ascii="Times New Roman" w:hAnsi="Times New Roman"/>
        </w:rPr>
        <w:t xml:space="preserve">QUALITY IMPROVEMENT, </w:t>
      </w:r>
      <w:r w:rsidR="006349BA" w:rsidRPr="004461BB">
        <w:rPr>
          <w:rFonts w:ascii="Times New Roman" w:hAnsi="Times New Roman"/>
        </w:rPr>
        <w:t>HUMAN RESEARCH, OR BOTH</w:t>
      </w:r>
      <w:r w:rsidRPr="004461BB">
        <w:rPr>
          <w:rFonts w:ascii="Times New Roman" w:hAnsi="Times New Roman"/>
        </w:rPr>
        <w:t>?</w:t>
      </w:r>
    </w:p>
    <w:p w14:paraId="1E3821FA" w14:textId="4C8A6283" w:rsidR="004461BB" w:rsidRPr="004461BB" w:rsidRDefault="004A5AB9" w:rsidP="004461B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Version Date – FOR OHR USE: </w:t>
      </w:r>
      <w:r w:rsidR="004402A4">
        <w:rPr>
          <w:rFonts w:ascii="Times New Roman" w:hAnsi="Times New Roman"/>
          <w:b/>
          <w:sz w:val="24"/>
        </w:rPr>
        <w:t>3/</w:t>
      </w:r>
      <w:bookmarkStart w:id="0" w:name="_GoBack"/>
      <w:bookmarkEnd w:id="0"/>
      <w:r w:rsidR="004402A4">
        <w:rPr>
          <w:rFonts w:ascii="Times New Roman" w:hAnsi="Times New Roman"/>
          <w:b/>
          <w:sz w:val="24"/>
        </w:rPr>
        <w:t>6/19</w:t>
      </w:r>
    </w:p>
    <w:p w14:paraId="09C9A0CB" w14:textId="54CDD004" w:rsidR="00B32AFD" w:rsidRDefault="00B32AFD" w:rsidP="00674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eastAsia="Times New Roman"/>
        </w:rPr>
      </w:pPr>
      <w:r w:rsidRPr="006740F0">
        <w:rPr>
          <w:rFonts w:eastAsia="Times New Roman"/>
          <w:b/>
          <w:bCs/>
        </w:rPr>
        <w:t>Instructions</w:t>
      </w:r>
      <w:r w:rsidR="001E330A" w:rsidRPr="006740F0">
        <w:rPr>
          <w:rFonts w:eastAsia="Times New Roman"/>
          <w:b/>
          <w:bCs/>
        </w:rPr>
        <w:t>:</w:t>
      </w:r>
      <w:r w:rsidR="001E330A" w:rsidRPr="006740F0">
        <w:rPr>
          <w:rFonts w:eastAsia="Times New Roman"/>
        </w:rPr>
        <w:t> </w:t>
      </w:r>
      <w:r w:rsidR="009D49F0">
        <w:rPr>
          <w:rFonts w:eastAsia="Times New Roman"/>
        </w:rPr>
        <w:t>The Office of Human Research</w:t>
      </w:r>
      <w:r w:rsidR="001E330A" w:rsidRPr="006740F0">
        <w:rPr>
          <w:rFonts w:eastAsia="Times New Roman"/>
        </w:rPr>
        <w:t xml:space="preserve"> </w:t>
      </w:r>
      <w:r w:rsidR="00EA09EA">
        <w:rPr>
          <w:rFonts w:eastAsia="Times New Roman"/>
        </w:rPr>
        <w:t xml:space="preserve">(OHR) </w:t>
      </w:r>
      <w:r w:rsidR="001E330A" w:rsidRPr="006740F0">
        <w:rPr>
          <w:rFonts w:eastAsia="Times New Roman"/>
        </w:rPr>
        <w:t xml:space="preserve">considers </w:t>
      </w:r>
      <w:r w:rsidR="00890F16">
        <w:rPr>
          <w:rFonts w:eastAsia="Times New Roman"/>
        </w:rPr>
        <w:t xml:space="preserve">quality improvement </w:t>
      </w:r>
      <w:r w:rsidR="006349BA">
        <w:rPr>
          <w:rFonts w:eastAsia="Times New Roman"/>
        </w:rPr>
        <w:t xml:space="preserve">(QI) </w:t>
      </w:r>
      <w:r w:rsidR="00890F16">
        <w:rPr>
          <w:rFonts w:eastAsia="Times New Roman"/>
        </w:rPr>
        <w:t>activities to be a standard part of health care operations and, in general, not subject to IRB oversight.</w:t>
      </w:r>
      <w:r w:rsidR="001E330A" w:rsidRPr="006740F0">
        <w:rPr>
          <w:rFonts w:eastAsia="Times New Roman"/>
        </w:rPr>
        <w:t xml:space="preserve"> </w:t>
      </w:r>
      <w:r w:rsidR="006349BA">
        <w:rPr>
          <w:rFonts w:eastAsia="Times New Roman"/>
        </w:rPr>
        <w:t xml:space="preserve">However, there may be instances where a project is both QI and human research and thus would require IRB review. </w:t>
      </w:r>
      <w:r w:rsidRPr="006740F0">
        <w:rPr>
          <w:rFonts w:eastAsia="Times New Roman"/>
        </w:rPr>
        <w:t>Use this decision tool to determine whether your project requires IRB review. Check the categories below that apply to your project.</w:t>
      </w:r>
    </w:p>
    <w:p w14:paraId="172A5122" w14:textId="024CC1D5" w:rsidR="003824C0" w:rsidRPr="006740F0" w:rsidRDefault="00277F97" w:rsidP="00674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eastAsia="Times New Roman"/>
        </w:rPr>
      </w:pPr>
      <w:r>
        <w:rPr>
          <w:rFonts w:eastAsia="Times New Roman"/>
        </w:rPr>
        <w:t xml:space="preserve">While QI projects may employ research methodology, there are key distinctions that can be identified in order to determine whether </w:t>
      </w:r>
      <w:r w:rsidR="00D42243">
        <w:rPr>
          <w:rFonts w:eastAsia="Times New Roman"/>
        </w:rPr>
        <w:t>a</w:t>
      </w:r>
      <w:r>
        <w:rPr>
          <w:rFonts w:eastAsia="Times New Roman"/>
        </w:rPr>
        <w:t xml:space="preserve"> project requires IRB review. </w:t>
      </w:r>
      <w:r w:rsidR="0025491B">
        <w:rPr>
          <w:rFonts w:eastAsia="Times New Roman"/>
        </w:rPr>
        <w:t xml:space="preserve">Jefferson uses the federal definition of research when determining what requires IRB review and oversight. </w:t>
      </w:r>
      <w:r w:rsidR="00A81218">
        <w:rPr>
          <w:rFonts w:eastAsia="Times New Roman"/>
        </w:rPr>
        <w:t>QI projects are defined with the</w:t>
      </w:r>
      <w:r w:rsidR="00D42243">
        <w:rPr>
          <w:rFonts w:eastAsia="Times New Roman"/>
        </w:rPr>
        <w:t xml:space="preserve"> goal to improve institutional processes and delivery of care. </w:t>
      </w:r>
      <w:r w:rsidR="006349BA">
        <w:rPr>
          <w:rFonts w:eastAsia="Times New Roman"/>
        </w:rPr>
        <w:t>An intent to publish or publicly present data is not in and of itself an indicator</w:t>
      </w:r>
      <w:r w:rsidR="003824C0">
        <w:rPr>
          <w:rFonts w:eastAsia="Times New Roman"/>
        </w:rPr>
        <w:t xml:space="preserve"> of</w:t>
      </w:r>
      <w:r w:rsidR="00142CE6">
        <w:rPr>
          <w:rFonts w:eastAsia="Times New Roman"/>
        </w:rPr>
        <w:t xml:space="preserve"> the</w:t>
      </w:r>
      <w:r w:rsidR="003824C0">
        <w:rPr>
          <w:rFonts w:eastAsia="Times New Roman"/>
        </w:rPr>
        <w:t xml:space="preserve"> need for IRB review.</w:t>
      </w:r>
      <w:r w:rsidR="00CA607F">
        <w:rPr>
          <w:rFonts w:eastAsia="Times New Roman"/>
        </w:rPr>
        <w:t xml:space="preserve"> </w:t>
      </w:r>
      <w:r w:rsidR="003A4DDD">
        <w:rPr>
          <w:rFonts w:eastAsia="Times New Roman"/>
        </w:rPr>
        <w:t xml:space="preserve">“Institutional” is defined by the Jefferson IRB as any site included within the Jefferson enterprise. </w:t>
      </w:r>
    </w:p>
    <w:p w14:paraId="55B83D97" w14:textId="6B8AEA2C" w:rsidR="003C045E" w:rsidRPr="00A70A35" w:rsidRDefault="00A70A35" w:rsidP="00B32AFD">
      <w:pPr>
        <w:jc w:val="both"/>
        <w:rPr>
          <w:rFonts w:eastAsia="Times New Roman"/>
          <w:b/>
          <w:sz w:val="24"/>
          <w:u w:val="single"/>
        </w:rPr>
      </w:pPr>
      <w:r w:rsidRPr="00A70A35">
        <w:rPr>
          <w:rFonts w:eastAsia="Times New Roman"/>
          <w:b/>
          <w:sz w:val="24"/>
          <w:u w:val="single"/>
        </w:rPr>
        <w:t>DEFINITIONS</w:t>
      </w:r>
    </w:p>
    <w:p w14:paraId="06C58AD4" w14:textId="13F3E38E" w:rsidR="001945F3" w:rsidRPr="001945F3" w:rsidRDefault="001945F3" w:rsidP="00582C1A">
      <w:pPr>
        <w:jc w:val="both"/>
        <w:rPr>
          <w:rFonts w:eastAsia="Times New Roman"/>
        </w:rPr>
      </w:pPr>
      <w:r w:rsidRPr="00730238">
        <w:rPr>
          <w:rFonts w:eastAsia="Times New Roman"/>
          <w:b/>
          <w:u w:val="single"/>
        </w:rPr>
        <w:t>Research</w:t>
      </w:r>
      <w:r>
        <w:rPr>
          <w:rFonts w:eastAsia="Times New Roman"/>
        </w:rPr>
        <w:t xml:space="preserve"> means a systematic investigation, including research development, testing, and evaluation, designed to develop or contribute to generalizable knowledge.</w:t>
      </w:r>
      <w:r w:rsidR="00582C1A" w:rsidRPr="00582C1A">
        <w:rPr>
          <w:rFonts w:eastAsia="Times New Roman"/>
          <w:b/>
        </w:rPr>
        <w:t xml:space="preserve"> </w:t>
      </w:r>
      <w:r w:rsidR="005830C5">
        <w:rPr>
          <w:rFonts w:eastAsia="Times New Roman"/>
        </w:rPr>
        <w:t>[</w:t>
      </w:r>
      <w:r w:rsidR="00582C1A" w:rsidRPr="00730238">
        <w:rPr>
          <w:rFonts w:eastAsia="Times New Roman"/>
        </w:rPr>
        <w:t>45 CFR 46.102(l)</w:t>
      </w:r>
      <w:r w:rsidR="005830C5">
        <w:rPr>
          <w:rFonts w:eastAsia="Times New Roman"/>
        </w:rPr>
        <w:t>]</w:t>
      </w:r>
    </w:p>
    <w:p w14:paraId="4A33FEA3" w14:textId="56EEA689" w:rsidR="001945F3" w:rsidRDefault="00384B75" w:rsidP="00B32AFD">
      <w:pPr>
        <w:jc w:val="both"/>
        <w:rPr>
          <w:rFonts w:eastAsia="Times New Roman"/>
        </w:rPr>
      </w:pPr>
      <w:r w:rsidRPr="00730238">
        <w:rPr>
          <w:rFonts w:eastAsia="Times New Roman"/>
          <w:b/>
          <w:u w:val="single"/>
        </w:rPr>
        <w:t>Generalizable knowledge</w:t>
      </w:r>
      <w:r>
        <w:rPr>
          <w:rFonts w:eastAsia="Times New Roman"/>
        </w:rPr>
        <w:t xml:space="preserve"> is knowledge specific to </w:t>
      </w:r>
      <w:r w:rsidR="00277F97">
        <w:rPr>
          <w:rFonts w:eastAsia="Times New Roman"/>
        </w:rPr>
        <w:t xml:space="preserve">a </w:t>
      </w:r>
      <w:r>
        <w:rPr>
          <w:rFonts w:eastAsia="Times New Roman"/>
        </w:rPr>
        <w:t>particular research study that is intended for distribution and use by non-Jefferson practitioners to improve medical practice. The typical venues for distribution are publication and public presentation.</w:t>
      </w:r>
    </w:p>
    <w:p w14:paraId="1C77B7C7" w14:textId="37B53A1D" w:rsidR="00582C1A" w:rsidRPr="00582C1A" w:rsidRDefault="00582C1A" w:rsidP="00B32AFD">
      <w:pPr>
        <w:jc w:val="both"/>
        <w:rPr>
          <w:rFonts w:eastAsia="Times New Roman"/>
          <w:b/>
          <w:sz w:val="20"/>
        </w:rPr>
      </w:pPr>
      <w:r w:rsidRPr="00730238">
        <w:rPr>
          <w:rFonts w:eastAsia="Times New Roman"/>
          <w:b/>
          <w:u w:val="single"/>
        </w:rPr>
        <w:t>Human subject</w:t>
      </w:r>
      <w:r>
        <w:rPr>
          <w:rFonts w:eastAsia="Times New Roman"/>
        </w:rPr>
        <w:t xml:space="preserve"> – A living individual about whom an investigator: 1) obtains information </w:t>
      </w:r>
      <w:r w:rsidR="00A96C4D">
        <w:rPr>
          <w:rFonts w:eastAsia="Times New Roman"/>
        </w:rPr>
        <w:t xml:space="preserve">or biospecimens </w:t>
      </w:r>
      <w:r>
        <w:rPr>
          <w:rFonts w:eastAsia="Times New Roman"/>
        </w:rPr>
        <w:t xml:space="preserve">through intervention or interaction with the individual and uses, studies, or analyzes the information or biospecimens, or; 2) obtains, uses, studies, analyzes, or generates identifiable private information or identifiable biospecimens. </w:t>
      </w:r>
      <w:r w:rsidR="005830C5">
        <w:rPr>
          <w:rFonts w:eastAsia="Times New Roman"/>
        </w:rPr>
        <w:t>[</w:t>
      </w:r>
      <w:r w:rsidRPr="00730238">
        <w:rPr>
          <w:rFonts w:eastAsia="Times New Roman"/>
        </w:rPr>
        <w:t>45 CFR 46.102e(1)</w:t>
      </w:r>
      <w:r w:rsidR="005830C5">
        <w:rPr>
          <w:rFonts w:eastAsia="Times New Roman"/>
        </w:rPr>
        <w:t>]</w:t>
      </w:r>
    </w:p>
    <w:p w14:paraId="3B05E55C" w14:textId="0BF1FB51" w:rsidR="007E786A" w:rsidRPr="007E786A" w:rsidRDefault="007E786A" w:rsidP="00C30991">
      <w:pPr>
        <w:pStyle w:val="NormalWeb"/>
        <w:jc w:val="both"/>
        <w:rPr>
          <w:rFonts w:ascii="Calibri" w:hAnsi="Calibri"/>
          <w:color w:val="000000"/>
          <w:sz w:val="22"/>
        </w:rPr>
      </w:pPr>
      <w:r w:rsidRPr="00730238">
        <w:rPr>
          <w:rFonts w:ascii="Calibri" w:hAnsi="Calibri"/>
          <w:b/>
          <w:color w:val="000000"/>
          <w:sz w:val="22"/>
          <w:u w:val="single"/>
        </w:rPr>
        <w:t>QI process description</w:t>
      </w:r>
      <w:r w:rsidRPr="007E786A">
        <w:rPr>
          <w:rFonts w:ascii="Calibri" w:hAnsi="Calibri"/>
          <w:color w:val="000000"/>
          <w:sz w:val="22"/>
        </w:rPr>
        <w:t xml:space="preserve">- A publication </w:t>
      </w:r>
      <w:r>
        <w:rPr>
          <w:rFonts w:ascii="Calibri" w:hAnsi="Calibri"/>
          <w:color w:val="000000"/>
          <w:sz w:val="22"/>
        </w:rPr>
        <w:t>or public presentation that</w:t>
      </w:r>
      <w:r w:rsidRPr="007E786A">
        <w:rPr>
          <w:rFonts w:ascii="Calibri" w:hAnsi="Calibri"/>
          <w:color w:val="000000"/>
          <w:sz w:val="22"/>
        </w:rPr>
        <w:t xml:space="preserve"> describes the structure, </w:t>
      </w:r>
      <w:r w:rsidR="00BF6BAB">
        <w:rPr>
          <w:rFonts w:ascii="Calibri" w:hAnsi="Calibri"/>
          <w:color w:val="000000"/>
          <w:sz w:val="22"/>
        </w:rPr>
        <w:t xml:space="preserve">model, </w:t>
      </w:r>
      <w:r w:rsidRPr="007E786A">
        <w:rPr>
          <w:rFonts w:ascii="Calibri" w:hAnsi="Calibri"/>
          <w:color w:val="000000"/>
          <w:sz w:val="22"/>
        </w:rPr>
        <w:t xml:space="preserve">execution, and/or goals of a </w:t>
      </w:r>
      <w:r w:rsidR="00616E09">
        <w:rPr>
          <w:rFonts w:ascii="Calibri" w:hAnsi="Calibri"/>
          <w:color w:val="000000"/>
          <w:sz w:val="22"/>
        </w:rPr>
        <w:t xml:space="preserve">QI </w:t>
      </w:r>
      <w:r w:rsidRPr="007E786A">
        <w:rPr>
          <w:rFonts w:ascii="Calibri" w:hAnsi="Calibri"/>
          <w:color w:val="000000"/>
          <w:sz w:val="22"/>
        </w:rPr>
        <w:t>project without providing the specific clinical outc</w:t>
      </w:r>
      <w:r>
        <w:rPr>
          <w:rFonts w:ascii="Calibri" w:hAnsi="Calibri"/>
          <w:color w:val="000000"/>
          <w:sz w:val="22"/>
        </w:rPr>
        <w:t>omes, findings, or patient data.</w:t>
      </w:r>
      <w:r w:rsidR="00AD369A">
        <w:rPr>
          <w:rFonts w:ascii="Calibri" w:hAnsi="Calibri"/>
          <w:color w:val="000000"/>
          <w:sz w:val="22"/>
        </w:rPr>
        <w:t xml:space="preserve"> Does not constitute “generalizable knowledg</w:t>
      </w:r>
      <w:r w:rsidR="00BF6BAB">
        <w:rPr>
          <w:rFonts w:ascii="Calibri" w:hAnsi="Calibri"/>
          <w:color w:val="000000"/>
          <w:sz w:val="22"/>
        </w:rPr>
        <w:t>e.”</w:t>
      </w:r>
    </w:p>
    <w:p w14:paraId="5B2B5768" w14:textId="28C506A7" w:rsidR="00A70A35" w:rsidRPr="007E786A" w:rsidRDefault="00A70A35" w:rsidP="00C30991">
      <w:pPr>
        <w:pBdr>
          <w:bottom w:val="single" w:sz="4" w:space="1" w:color="auto"/>
        </w:pBdr>
        <w:jc w:val="both"/>
        <w:rPr>
          <w:rFonts w:eastAsia="Times New Roman"/>
          <w:sz w:val="20"/>
        </w:rPr>
      </w:pPr>
    </w:p>
    <w:p w14:paraId="1BB97331" w14:textId="7750CB86" w:rsidR="005B3BDA" w:rsidRPr="005B3BDA" w:rsidRDefault="005B3BDA" w:rsidP="00B32AFD">
      <w:pPr>
        <w:jc w:val="both"/>
        <w:rPr>
          <w:rFonts w:eastAsia="Times New Roman"/>
          <w:b/>
          <w:sz w:val="24"/>
          <w:u w:val="single"/>
        </w:rPr>
      </w:pPr>
      <w:r w:rsidRPr="005B3BDA">
        <w:rPr>
          <w:rFonts w:eastAsia="Times New Roman"/>
          <w:b/>
          <w:sz w:val="24"/>
          <w:u w:val="single"/>
        </w:rPr>
        <w:t>QUALITY IMPROVEMENT ACTIVITIES</w:t>
      </w:r>
    </w:p>
    <w:p w14:paraId="72F1217E" w14:textId="5442A4CF" w:rsidR="001E330A" w:rsidRPr="006740F0" w:rsidRDefault="00191E13" w:rsidP="00B32AFD">
      <w:pPr>
        <w:jc w:val="both"/>
        <w:rPr>
          <w:rFonts w:eastAsia="Times New Roman"/>
          <w:sz w:val="23"/>
          <w:szCs w:val="23"/>
        </w:rPr>
      </w:pPr>
      <w:r w:rsidRPr="006740F0">
        <w:rPr>
          <w:rFonts w:eastAsia="Times New Roman"/>
        </w:rPr>
        <w:t xml:space="preserve">The following activities </w:t>
      </w:r>
      <w:r w:rsidR="007B727B">
        <w:rPr>
          <w:rFonts w:eastAsia="Times New Roman"/>
        </w:rPr>
        <w:t>fall within the realm of QI</w:t>
      </w:r>
      <w:r w:rsidR="001E330A" w:rsidRPr="006740F0">
        <w:rPr>
          <w:rFonts w:eastAsia="Times New Roman"/>
        </w:rPr>
        <w:t xml:space="preserve"> </w:t>
      </w:r>
      <w:r w:rsidRPr="006740F0">
        <w:rPr>
          <w:rFonts w:eastAsia="Times New Roman"/>
        </w:rPr>
        <w:t xml:space="preserve">and </w:t>
      </w:r>
      <w:r w:rsidRPr="006740F0">
        <w:rPr>
          <w:rFonts w:eastAsia="Times New Roman"/>
          <w:u w:val="single"/>
        </w:rPr>
        <w:t>do not require</w:t>
      </w:r>
      <w:r w:rsidRPr="006740F0">
        <w:rPr>
          <w:rFonts w:eastAsia="Times New Roman"/>
        </w:rPr>
        <w:t xml:space="preserve"> IRB review:</w:t>
      </w:r>
    </w:p>
    <w:p w14:paraId="279EE02D" w14:textId="0B4F956D" w:rsidR="001E330A" w:rsidRPr="006740F0" w:rsidRDefault="00B54919" w:rsidP="00B32AFD">
      <w:pPr>
        <w:spacing w:after="0" w:line="240" w:lineRule="auto"/>
        <w:ind w:left="810" w:hanging="450"/>
        <w:jc w:val="both"/>
      </w:pPr>
      <w:r w:rsidRPr="006740F0">
        <w:t xml:space="preserve">___ </w:t>
      </w:r>
      <w:r w:rsidR="00191E13" w:rsidRPr="006740F0">
        <w:t xml:space="preserve">Activities that </w:t>
      </w:r>
      <w:r w:rsidR="001E330A" w:rsidRPr="006740F0">
        <w:t xml:space="preserve">focus primarily on </w:t>
      </w:r>
      <w:r w:rsidR="00F638EC">
        <w:t xml:space="preserve">improving </w:t>
      </w:r>
      <w:r w:rsidR="001E330A" w:rsidRPr="006740F0">
        <w:t xml:space="preserve">the performance of local patient-care delivery, </w:t>
      </w:r>
      <w:r w:rsidR="009027EA">
        <w:t xml:space="preserve">staff satisfaction, business systems, and the like, </w:t>
      </w:r>
      <w:r w:rsidR="001E330A" w:rsidRPr="006740F0">
        <w:t>rather than the generation of new scientific knowledge</w:t>
      </w:r>
      <w:r w:rsidR="007F5C14">
        <w:t>;</w:t>
      </w:r>
    </w:p>
    <w:p w14:paraId="150AEC80" w14:textId="7654CEA2" w:rsidR="00B54919" w:rsidRDefault="00B54919" w:rsidP="00B32AFD">
      <w:pPr>
        <w:spacing w:after="0" w:line="240" w:lineRule="auto"/>
        <w:ind w:left="360"/>
        <w:jc w:val="both"/>
        <w:rPr>
          <w:rFonts w:eastAsia="Times New Roman"/>
          <w:sz w:val="23"/>
          <w:szCs w:val="23"/>
        </w:rPr>
      </w:pPr>
    </w:p>
    <w:p w14:paraId="2E880587" w14:textId="5B42BEAA" w:rsidR="00371CE7" w:rsidRPr="00371CE7" w:rsidRDefault="00371CE7" w:rsidP="00B32AFD">
      <w:pPr>
        <w:spacing w:after="0" w:line="240" w:lineRule="auto"/>
        <w:ind w:left="360"/>
        <w:jc w:val="both"/>
        <w:rPr>
          <w:rFonts w:eastAsia="Times New Roman"/>
        </w:rPr>
      </w:pPr>
      <w:r w:rsidRPr="00371CE7">
        <w:rPr>
          <w:rFonts w:eastAsia="Times New Roman"/>
        </w:rPr>
        <w:t>___ Activities that focus primarily on curricular development</w:t>
      </w:r>
      <w:r>
        <w:rPr>
          <w:rFonts w:eastAsia="Times New Roman"/>
        </w:rPr>
        <w:t xml:space="preserve"> or student satisfaction</w:t>
      </w:r>
      <w:r w:rsidRPr="00371CE7">
        <w:rPr>
          <w:rFonts w:eastAsia="Times New Roman"/>
        </w:rPr>
        <w:t xml:space="preserve">; </w:t>
      </w:r>
    </w:p>
    <w:p w14:paraId="0D3DB112" w14:textId="77777777" w:rsidR="00371CE7" w:rsidRPr="006740F0" w:rsidRDefault="00371CE7" w:rsidP="00B32AFD">
      <w:pPr>
        <w:spacing w:after="0" w:line="240" w:lineRule="auto"/>
        <w:ind w:left="360"/>
        <w:jc w:val="both"/>
        <w:rPr>
          <w:rFonts w:eastAsia="Times New Roman"/>
          <w:sz w:val="23"/>
          <w:szCs w:val="23"/>
        </w:rPr>
      </w:pPr>
    </w:p>
    <w:p w14:paraId="5F1FAF48" w14:textId="2742D051" w:rsidR="001E330A" w:rsidRPr="006740F0" w:rsidRDefault="00B54919" w:rsidP="00B32AFD">
      <w:pPr>
        <w:spacing w:after="0" w:line="240" w:lineRule="auto"/>
        <w:ind w:left="810" w:hanging="450"/>
        <w:jc w:val="both"/>
        <w:rPr>
          <w:rFonts w:eastAsia="Times New Roman"/>
        </w:rPr>
      </w:pPr>
      <w:r w:rsidRPr="006740F0">
        <w:t xml:space="preserve">___ </w:t>
      </w:r>
      <w:r w:rsidR="00191E13" w:rsidRPr="006740F0">
        <w:t xml:space="preserve">Activities that </w:t>
      </w:r>
      <w:r w:rsidR="001E330A" w:rsidRPr="006740F0">
        <w:rPr>
          <w:rFonts w:eastAsia="Times New Roman"/>
        </w:rPr>
        <w:t xml:space="preserve">attempt to consistently implement established best practices based on existing evidence </w:t>
      </w:r>
      <w:r w:rsidR="007F5C14">
        <w:rPr>
          <w:rFonts w:eastAsia="Times New Roman"/>
        </w:rPr>
        <w:t>gained from</w:t>
      </w:r>
      <w:r w:rsidR="001E330A" w:rsidRPr="006740F0">
        <w:rPr>
          <w:rFonts w:eastAsia="Times New Roman"/>
        </w:rPr>
        <w:t xml:space="preserve"> </w:t>
      </w:r>
      <w:r w:rsidR="009027EA">
        <w:rPr>
          <w:rFonts w:eastAsia="Times New Roman"/>
        </w:rPr>
        <w:t xml:space="preserve">the professional literature </w:t>
      </w:r>
      <w:r w:rsidR="007F5C14">
        <w:rPr>
          <w:rFonts w:eastAsia="Times New Roman"/>
        </w:rPr>
        <w:t>and consensus-expert opinion;</w:t>
      </w:r>
    </w:p>
    <w:p w14:paraId="6055D631" w14:textId="5806FE66" w:rsidR="00CA607F" w:rsidRDefault="00CA607F" w:rsidP="00B32AFD">
      <w:pPr>
        <w:spacing w:after="0" w:line="240" w:lineRule="auto"/>
        <w:ind w:left="810" w:hanging="450"/>
        <w:jc w:val="both"/>
        <w:rPr>
          <w:rFonts w:eastAsia="Times New Roman"/>
        </w:rPr>
      </w:pPr>
    </w:p>
    <w:p w14:paraId="1F5A7EC6" w14:textId="13B2D2E2" w:rsidR="00CA607F" w:rsidRPr="007B35B3" w:rsidRDefault="00CA607F" w:rsidP="00B32AFD">
      <w:pPr>
        <w:spacing w:after="0" w:line="240" w:lineRule="auto"/>
        <w:ind w:left="810" w:hanging="45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</w:rPr>
        <w:t xml:space="preserve">___ Publication or public presentation of such activities listed above where the intent is to </w:t>
      </w:r>
      <w:r w:rsidR="006C0F40" w:rsidRPr="006C0F40">
        <w:rPr>
          <w:rFonts w:eastAsia="Times New Roman"/>
          <w:u w:val="single"/>
        </w:rPr>
        <w:t>describe</w:t>
      </w:r>
      <w:r w:rsidR="007B35B3">
        <w:rPr>
          <w:rFonts w:eastAsia="Times New Roman"/>
        </w:rPr>
        <w:t xml:space="preserve"> the </w:t>
      </w:r>
      <w:r w:rsidR="006C0F40" w:rsidRPr="006C0F40">
        <w:rPr>
          <w:rFonts w:eastAsia="Times New Roman"/>
        </w:rPr>
        <w:t xml:space="preserve">QI process </w:t>
      </w:r>
      <w:r w:rsidR="007B35B3">
        <w:rPr>
          <w:rFonts w:eastAsia="Times New Roman"/>
        </w:rPr>
        <w:t xml:space="preserve">and not the specific data from the project, </w:t>
      </w:r>
      <w:r w:rsidR="00384E4A">
        <w:rPr>
          <w:rFonts w:eastAsia="Times New Roman"/>
        </w:rPr>
        <w:t>such</w:t>
      </w:r>
      <w:r w:rsidR="007B35B3">
        <w:rPr>
          <w:rFonts w:eastAsia="Times New Roman"/>
        </w:rPr>
        <w:t xml:space="preserve"> that non-Jefferson practitioners may use such a model in their own venues.</w:t>
      </w:r>
    </w:p>
    <w:p w14:paraId="06E44989" w14:textId="7EE5CBA1" w:rsidR="00371CE7" w:rsidRPr="006740F0" w:rsidRDefault="00371CE7" w:rsidP="005B3BDA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</w:rPr>
      </w:pPr>
    </w:p>
    <w:p w14:paraId="6640A3AF" w14:textId="77777777" w:rsidR="005B3BDA" w:rsidRDefault="005B3BDA" w:rsidP="00325B32">
      <w:pPr>
        <w:spacing w:after="0" w:line="240" w:lineRule="auto"/>
        <w:jc w:val="both"/>
        <w:rPr>
          <w:rFonts w:eastAsia="Times New Roman"/>
          <w:sz w:val="23"/>
          <w:szCs w:val="23"/>
        </w:rPr>
      </w:pPr>
    </w:p>
    <w:p w14:paraId="2916340A" w14:textId="3E4F5EE6" w:rsidR="00B54919" w:rsidRPr="005B3BDA" w:rsidRDefault="005B3BDA" w:rsidP="00325B32">
      <w:pPr>
        <w:spacing w:after="0" w:line="240" w:lineRule="auto"/>
        <w:jc w:val="both"/>
        <w:rPr>
          <w:rFonts w:eastAsia="Times New Roman"/>
          <w:b/>
          <w:sz w:val="24"/>
          <w:szCs w:val="23"/>
          <w:u w:val="single"/>
        </w:rPr>
      </w:pPr>
      <w:r>
        <w:rPr>
          <w:rFonts w:eastAsia="Times New Roman"/>
          <w:b/>
          <w:sz w:val="24"/>
          <w:szCs w:val="23"/>
          <w:u w:val="single"/>
        </w:rPr>
        <w:t>HUMAN RESEARCH</w:t>
      </w:r>
    </w:p>
    <w:p w14:paraId="26938CC8" w14:textId="77777777" w:rsidR="005B3BDA" w:rsidRPr="006740F0" w:rsidRDefault="005B3BDA" w:rsidP="00325B32">
      <w:pPr>
        <w:spacing w:after="0" w:line="240" w:lineRule="auto"/>
        <w:jc w:val="both"/>
        <w:rPr>
          <w:rFonts w:eastAsia="Times New Roman"/>
          <w:sz w:val="23"/>
          <w:szCs w:val="23"/>
        </w:rPr>
      </w:pPr>
    </w:p>
    <w:p w14:paraId="53D72CD6" w14:textId="2F62049D" w:rsidR="001E330A" w:rsidRPr="006740F0" w:rsidRDefault="00191E13" w:rsidP="00B32AFD">
      <w:pPr>
        <w:jc w:val="both"/>
        <w:rPr>
          <w:rFonts w:eastAsia="Times New Roman"/>
          <w:sz w:val="23"/>
          <w:szCs w:val="23"/>
        </w:rPr>
      </w:pPr>
      <w:r w:rsidRPr="006740F0">
        <w:t xml:space="preserve">The following activities </w:t>
      </w:r>
      <w:r w:rsidR="009E5163">
        <w:t xml:space="preserve">fall within the realm of human research </w:t>
      </w:r>
      <w:r w:rsidRPr="006740F0">
        <w:t xml:space="preserve">that requires </w:t>
      </w:r>
      <w:r w:rsidR="00266D85">
        <w:t xml:space="preserve">prospective </w:t>
      </w:r>
      <w:r w:rsidRPr="006740F0">
        <w:t>IRB review</w:t>
      </w:r>
      <w:r w:rsidR="009940EC">
        <w:t xml:space="preserve"> prior to initiation</w:t>
      </w:r>
      <w:r w:rsidRPr="006740F0">
        <w:t>:</w:t>
      </w:r>
    </w:p>
    <w:p w14:paraId="00DFF958" w14:textId="67B5848A" w:rsidR="001E330A" w:rsidRPr="006740F0" w:rsidRDefault="00B54919" w:rsidP="002204DA">
      <w:pPr>
        <w:spacing w:after="0" w:line="240" w:lineRule="auto"/>
        <w:ind w:left="720" w:hanging="360"/>
        <w:jc w:val="both"/>
      </w:pPr>
      <w:r w:rsidRPr="006740F0">
        <w:t xml:space="preserve">___ </w:t>
      </w:r>
      <w:r w:rsidR="00191E13" w:rsidRPr="006740F0">
        <w:t xml:space="preserve">Activities </w:t>
      </w:r>
      <w:r w:rsidR="00B02DDC" w:rsidRPr="006740F0">
        <w:t>that involve</w:t>
      </w:r>
      <w:r w:rsidR="001E330A" w:rsidRPr="006740F0">
        <w:t xml:space="preserve"> experimental or unproven therapies </w:t>
      </w:r>
      <w:r w:rsidR="00491343">
        <w:t xml:space="preserve">or procedures </w:t>
      </w:r>
      <w:r w:rsidR="001E330A" w:rsidRPr="006740F0">
        <w:t>(not evidence-based treatment)</w:t>
      </w:r>
      <w:r w:rsidR="002204DA">
        <w:t>, or prospective evaluation of a drug or device that is not currently approved by FDA for general use (including “off-label” indications)</w:t>
      </w:r>
      <w:r w:rsidR="005A4F3F">
        <w:t>;</w:t>
      </w:r>
    </w:p>
    <w:p w14:paraId="2B6D5227" w14:textId="2DB7A5C3" w:rsidR="00B54919" w:rsidRDefault="00B54919" w:rsidP="00B32AFD">
      <w:pPr>
        <w:spacing w:after="0" w:line="240" w:lineRule="auto"/>
        <w:ind w:left="360"/>
        <w:jc w:val="both"/>
        <w:rPr>
          <w:rFonts w:eastAsia="Times New Roman"/>
          <w:sz w:val="23"/>
          <w:szCs w:val="23"/>
        </w:rPr>
      </w:pPr>
    </w:p>
    <w:p w14:paraId="795EF537" w14:textId="5BE5C256" w:rsidR="003A0428" w:rsidRDefault="003A0428" w:rsidP="00834CC3">
      <w:pPr>
        <w:spacing w:after="0" w:line="240" w:lineRule="auto"/>
        <w:ind w:left="720" w:hanging="360"/>
        <w:jc w:val="both"/>
        <w:rPr>
          <w:rFonts w:eastAsia="Times New Roman"/>
          <w:sz w:val="23"/>
          <w:szCs w:val="23"/>
        </w:rPr>
      </w:pPr>
      <w:r w:rsidRPr="006740F0">
        <w:t>___</w:t>
      </w:r>
      <w:r>
        <w:t xml:space="preserve"> Activities that involve a control group</w:t>
      </w:r>
      <w:r w:rsidR="00834CC3">
        <w:t>, in which therapeutic or study intervention is intentional</w:t>
      </w:r>
      <w:r w:rsidR="00491343">
        <w:t xml:space="preserve">ly </w:t>
      </w:r>
      <w:r w:rsidR="00857F45">
        <w:t>withheld</w:t>
      </w:r>
      <w:r w:rsidR="00834CC3">
        <w:t xml:space="preserve"> to allow an assessment of its effica</w:t>
      </w:r>
      <w:r w:rsidR="002204DA">
        <w:t>c</w:t>
      </w:r>
      <w:r w:rsidR="00834CC3">
        <w:t>y</w:t>
      </w:r>
      <w:r w:rsidR="005A4F3F">
        <w:t>;</w:t>
      </w:r>
    </w:p>
    <w:p w14:paraId="48E211AB" w14:textId="77777777" w:rsidR="003A0428" w:rsidRPr="006740F0" w:rsidRDefault="003A0428" w:rsidP="00B32AFD">
      <w:pPr>
        <w:spacing w:after="0" w:line="240" w:lineRule="auto"/>
        <w:ind w:left="360"/>
        <w:jc w:val="both"/>
        <w:rPr>
          <w:rFonts w:eastAsia="Times New Roman"/>
          <w:sz w:val="23"/>
          <w:szCs w:val="23"/>
        </w:rPr>
      </w:pPr>
    </w:p>
    <w:p w14:paraId="1BF569F4" w14:textId="6E088E43" w:rsidR="001E330A" w:rsidRPr="006740F0" w:rsidRDefault="00B54919" w:rsidP="00B32AFD">
      <w:pPr>
        <w:spacing w:after="0" w:line="240" w:lineRule="auto"/>
        <w:ind w:left="810" w:hanging="450"/>
        <w:jc w:val="both"/>
        <w:rPr>
          <w:rFonts w:eastAsia="Times New Roman"/>
        </w:rPr>
      </w:pPr>
      <w:r w:rsidRPr="006740F0">
        <w:t xml:space="preserve">___ </w:t>
      </w:r>
      <w:r w:rsidR="00191E13" w:rsidRPr="006740F0">
        <w:t xml:space="preserve">Activities </w:t>
      </w:r>
      <w:r w:rsidR="001E330A" w:rsidRPr="006740F0">
        <w:rPr>
          <w:rFonts w:eastAsia="Times New Roman"/>
        </w:rPr>
        <w:t xml:space="preserve">in which </w:t>
      </w:r>
      <w:r w:rsidR="00266D85">
        <w:rPr>
          <w:rFonts w:eastAsia="Times New Roman"/>
        </w:rPr>
        <w:t>subjects</w:t>
      </w:r>
      <w:r w:rsidR="00266D85" w:rsidRPr="006740F0">
        <w:rPr>
          <w:rFonts w:eastAsia="Times New Roman"/>
        </w:rPr>
        <w:t xml:space="preserve"> </w:t>
      </w:r>
      <w:r w:rsidR="001E330A" w:rsidRPr="006740F0">
        <w:rPr>
          <w:rFonts w:eastAsia="Times New Roman"/>
        </w:rPr>
        <w:t xml:space="preserve">are randomly assigned </w:t>
      </w:r>
      <w:r w:rsidR="00EE44E9">
        <w:rPr>
          <w:rFonts w:eastAsia="Times New Roman"/>
        </w:rPr>
        <w:t xml:space="preserve">(i.e., through a </w:t>
      </w:r>
      <w:r w:rsidR="005A4F3F">
        <w:rPr>
          <w:rFonts w:eastAsia="Times New Roman"/>
        </w:rPr>
        <w:t xml:space="preserve">specific </w:t>
      </w:r>
      <w:r w:rsidR="00EE44E9">
        <w:rPr>
          <w:rFonts w:eastAsia="Times New Roman"/>
        </w:rPr>
        <w:t xml:space="preserve">randomization procedure) </w:t>
      </w:r>
      <w:r w:rsidR="005A4F3F">
        <w:rPr>
          <w:rFonts w:eastAsia="Times New Roman"/>
        </w:rPr>
        <w:t>to competing treatments;</w:t>
      </w:r>
    </w:p>
    <w:p w14:paraId="30EE7512" w14:textId="77777777" w:rsidR="00B54919" w:rsidRPr="006740F0" w:rsidRDefault="00B54919" w:rsidP="00B32AFD">
      <w:pPr>
        <w:spacing w:after="0" w:line="240" w:lineRule="auto"/>
        <w:ind w:left="360"/>
        <w:jc w:val="both"/>
        <w:rPr>
          <w:rFonts w:eastAsia="Times New Roman"/>
          <w:sz w:val="23"/>
          <w:szCs w:val="23"/>
        </w:rPr>
      </w:pPr>
    </w:p>
    <w:p w14:paraId="470DF0F1" w14:textId="35AA7EE3" w:rsidR="004D7F0A" w:rsidRDefault="00B54919" w:rsidP="00B32AFD">
      <w:pPr>
        <w:spacing w:after="0" w:line="240" w:lineRule="auto"/>
        <w:ind w:left="810" w:hanging="450"/>
        <w:jc w:val="both"/>
        <w:rPr>
          <w:rFonts w:eastAsia="Times New Roman"/>
        </w:rPr>
      </w:pPr>
      <w:r w:rsidRPr="006740F0">
        <w:t xml:space="preserve">___ </w:t>
      </w:r>
      <w:r w:rsidR="00191E13" w:rsidRPr="006740F0">
        <w:t xml:space="preserve">Activities </w:t>
      </w:r>
      <w:r w:rsidR="001E330A" w:rsidRPr="006740F0">
        <w:rPr>
          <w:rFonts w:eastAsia="Times New Roman"/>
        </w:rPr>
        <w:t>that imp</w:t>
      </w:r>
      <w:r w:rsidR="00B02DDC" w:rsidRPr="006740F0">
        <w:rPr>
          <w:rFonts w:eastAsia="Times New Roman"/>
        </w:rPr>
        <w:t>ose</w:t>
      </w:r>
      <w:r w:rsidR="001E330A" w:rsidRPr="006740F0">
        <w:rPr>
          <w:rFonts w:eastAsia="Times New Roman"/>
        </w:rPr>
        <w:t xml:space="preserve"> additional testing burdens </w:t>
      </w:r>
      <w:r w:rsidR="00C40C64">
        <w:rPr>
          <w:rFonts w:eastAsia="Times New Roman"/>
        </w:rPr>
        <w:t>(</w:t>
      </w:r>
      <w:r w:rsidR="001E330A" w:rsidRPr="006740F0">
        <w:rPr>
          <w:rFonts w:eastAsia="Times New Roman"/>
        </w:rPr>
        <w:t xml:space="preserve">that </w:t>
      </w:r>
      <w:r w:rsidR="00C40C64">
        <w:rPr>
          <w:rFonts w:eastAsia="Times New Roman"/>
        </w:rPr>
        <w:t>may or may not represent additional</w:t>
      </w:r>
      <w:r w:rsidR="001E330A" w:rsidRPr="006740F0">
        <w:rPr>
          <w:rFonts w:eastAsia="Times New Roman"/>
        </w:rPr>
        <w:t xml:space="preserve"> risk to a </w:t>
      </w:r>
      <w:r w:rsidR="00266D85">
        <w:rPr>
          <w:rFonts w:eastAsia="Times New Roman"/>
        </w:rPr>
        <w:t>subject</w:t>
      </w:r>
      <w:r w:rsidR="00C40C64">
        <w:rPr>
          <w:rFonts w:eastAsia="Times New Roman"/>
        </w:rPr>
        <w:t>)</w:t>
      </w:r>
      <w:r w:rsidR="001E330A" w:rsidRPr="006740F0">
        <w:rPr>
          <w:rFonts w:eastAsia="Times New Roman"/>
        </w:rPr>
        <w:t>, while not conveying a countervailing potential benefit to that patient</w:t>
      </w:r>
      <w:r w:rsidR="005A4F3F">
        <w:rPr>
          <w:rFonts w:eastAsia="Times New Roman"/>
        </w:rPr>
        <w:t>;</w:t>
      </w:r>
    </w:p>
    <w:p w14:paraId="7CE134FC" w14:textId="77777777" w:rsidR="004D7F0A" w:rsidRDefault="004D7F0A" w:rsidP="00B32AFD">
      <w:pPr>
        <w:spacing w:after="0" w:line="240" w:lineRule="auto"/>
        <w:ind w:left="810" w:hanging="450"/>
        <w:jc w:val="both"/>
        <w:rPr>
          <w:rFonts w:eastAsia="Times New Roman"/>
        </w:rPr>
      </w:pPr>
    </w:p>
    <w:p w14:paraId="66BAB190" w14:textId="68D2ACD8" w:rsidR="004D7F0A" w:rsidRDefault="003A4DDD" w:rsidP="00B32AFD">
      <w:pPr>
        <w:spacing w:after="0" w:line="240" w:lineRule="auto"/>
        <w:ind w:left="810" w:hanging="450"/>
        <w:jc w:val="both"/>
        <w:rPr>
          <w:rFonts w:eastAsia="Times New Roman"/>
        </w:rPr>
      </w:pPr>
      <w:r>
        <w:rPr>
          <w:rFonts w:eastAsia="Times New Roman"/>
        </w:rPr>
        <w:t>___</w:t>
      </w:r>
      <w:r>
        <w:rPr>
          <w:rFonts w:eastAsia="Times New Roman"/>
        </w:rPr>
        <w:tab/>
      </w:r>
      <w:r w:rsidR="00142CE6">
        <w:rPr>
          <w:rFonts w:eastAsia="Times New Roman"/>
        </w:rPr>
        <w:t>Projects funded</w:t>
      </w:r>
      <w:r>
        <w:rPr>
          <w:rFonts w:eastAsia="Times New Roman"/>
        </w:rPr>
        <w:t xml:space="preserve"> by a </w:t>
      </w:r>
      <w:r w:rsidR="004D7F0A">
        <w:rPr>
          <w:rFonts w:eastAsia="Times New Roman"/>
        </w:rPr>
        <w:t xml:space="preserve">commercial interest with stakes in </w:t>
      </w:r>
      <w:r w:rsidR="00C40C64">
        <w:rPr>
          <w:rFonts w:eastAsia="Times New Roman"/>
        </w:rPr>
        <w:t>project</w:t>
      </w:r>
      <w:r w:rsidR="004D7F0A">
        <w:rPr>
          <w:rFonts w:eastAsia="Times New Roman"/>
        </w:rPr>
        <w:t xml:space="preserve"> results</w:t>
      </w:r>
      <w:r w:rsidR="005A4F3F">
        <w:rPr>
          <w:rFonts w:eastAsia="Times New Roman"/>
        </w:rPr>
        <w:t>;</w:t>
      </w:r>
    </w:p>
    <w:p w14:paraId="233AD1A2" w14:textId="77777777" w:rsidR="003824C0" w:rsidRDefault="003824C0" w:rsidP="00B32AFD">
      <w:pPr>
        <w:spacing w:after="0" w:line="240" w:lineRule="auto"/>
        <w:ind w:left="810" w:hanging="450"/>
        <w:jc w:val="both"/>
        <w:rPr>
          <w:rFonts w:eastAsia="Times New Roman"/>
        </w:rPr>
      </w:pPr>
    </w:p>
    <w:p w14:paraId="2288F20B" w14:textId="753DC743" w:rsidR="003824C0" w:rsidRDefault="003824C0" w:rsidP="00B32AFD">
      <w:pPr>
        <w:spacing w:after="0" w:line="240" w:lineRule="auto"/>
        <w:ind w:left="810" w:hanging="450"/>
        <w:jc w:val="both"/>
        <w:rPr>
          <w:rFonts w:eastAsia="Times New Roman"/>
        </w:rPr>
      </w:pPr>
      <w:r>
        <w:rPr>
          <w:rFonts w:eastAsia="Times New Roman"/>
        </w:rPr>
        <w:t>___</w:t>
      </w:r>
      <w:r>
        <w:rPr>
          <w:rFonts w:eastAsia="Times New Roman"/>
        </w:rPr>
        <w:tab/>
        <w:t>Activities that follow a protocol of fixed procedures with rigid methodology, population, goals and/or time frame</w:t>
      </w:r>
      <w:r w:rsidR="005A4F3F">
        <w:rPr>
          <w:rFonts w:eastAsia="Times New Roman"/>
        </w:rPr>
        <w:t>;</w:t>
      </w:r>
    </w:p>
    <w:p w14:paraId="682462DA" w14:textId="56F12241" w:rsidR="009E5163" w:rsidRDefault="009E5163" w:rsidP="00B32AFD">
      <w:pPr>
        <w:spacing w:after="0" w:line="240" w:lineRule="auto"/>
        <w:ind w:left="810" w:hanging="450"/>
        <w:jc w:val="both"/>
        <w:rPr>
          <w:rFonts w:eastAsia="Times New Roman"/>
        </w:rPr>
      </w:pPr>
    </w:p>
    <w:p w14:paraId="08D2DC02" w14:textId="6C54DCCD" w:rsidR="001172DB" w:rsidRPr="006740F0" w:rsidRDefault="009E5163" w:rsidP="001172DB">
      <w:pPr>
        <w:spacing w:after="0" w:line="240" w:lineRule="auto"/>
        <w:ind w:left="810" w:hanging="450"/>
        <w:jc w:val="both"/>
        <w:rPr>
          <w:rFonts w:eastAsia="Times New Roman"/>
        </w:rPr>
      </w:pPr>
      <w:r>
        <w:rPr>
          <w:rFonts w:eastAsia="Times New Roman"/>
        </w:rPr>
        <w:t>___</w:t>
      </w:r>
      <w:r>
        <w:rPr>
          <w:rFonts w:eastAsia="Times New Roman"/>
        </w:rPr>
        <w:tab/>
        <w:t>Publication or public presentation of data specific to a particular project with the intention that non-Jefferson practitioners will apply this d</w:t>
      </w:r>
      <w:r w:rsidR="005A4F3F">
        <w:rPr>
          <w:rFonts w:eastAsia="Times New Roman"/>
        </w:rPr>
        <w:t>ata to improve medical practice, curriculum, business systems, and the like.</w:t>
      </w:r>
    </w:p>
    <w:p w14:paraId="60332D64" w14:textId="77777777" w:rsidR="00B32AFD" w:rsidRPr="006740F0" w:rsidRDefault="00B32AFD" w:rsidP="00B32AFD">
      <w:pPr>
        <w:spacing w:after="0" w:line="240" w:lineRule="auto"/>
        <w:jc w:val="both"/>
        <w:rPr>
          <w:rFonts w:eastAsia="Times New Roman"/>
        </w:rPr>
      </w:pPr>
    </w:p>
    <w:p w14:paraId="2661358A" w14:textId="33D5DBC8" w:rsidR="00B32AFD" w:rsidRDefault="00B32AFD" w:rsidP="00B32AFD">
      <w:pPr>
        <w:pBdr>
          <w:top w:val="single" w:sz="4" w:space="1" w:color="auto"/>
        </w:pBdr>
        <w:jc w:val="both"/>
        <w:rPr>
          <w:b/>
        </w:rPr>
      </w:pPr>
      <w:r w:rsidRPr="006740F0">
        <w:rPr>
          <w:b/>
        </w:rPr>
        <w:t xml:space="preserve">By signing below, the </w:t>
      </w:r>
      <w:r w:rsidR="006644E4">
        <w:rPr>
          <w:b/>
        </w:rPr>
        <w:t>project leader</w:t>
      </w:r>
      <w:r w:rsidRPr="006740F0">
        <w:rPr>
          <w:b/>
        </w:rPr>
        <w:t xml:space="preserve"> certifies that the entirety of </w:t>
      </w:r>
      <w:r w:rsidR="00CC63C6">
        <w:rPr>
          <w:b/>
        </w:rPr>
        <w:t>their</w:t>
      </w:r>
      <w:r w:rsidRPr="006740F0">
        <w:rPr>
          <w:b/>
        </w:rPr>
        <w:t xml:space="preserve"> </w:t>
      </w:r>
      <w:r w:rsidR="00325B32" w:rsidRPr="006740F0">
        <w:rPr>
          <w:b/>
        </w:rPr>
        <w:t>activities fit</w:t>
      </w:r>
      <w:r w:rsidRPr="006740F0">
        <w:rPr>
          <w:b/>
        </w:rPr>
        <w:t xml:space="preserve"> into one or more of the above </w:t>
      </w:r>
      <w:r w:rsidR="00EA09EA">
        <w:rPr>
          <w:b/>
        </w:rPr>
        <w:t xml:space="preserve">QI </w:t>
      </w:r>
      <w:r w:rsidRPr="006740F0">
        <w:rPr>
          <w:b/>
        </w:rPr>
        <w:t>categories</w:t>
      </w:r>
      <w:r w:rsidR="0057508F">
        <w:rPr>
          <w:b/>
        </w:rPr>
        <w:t>, and the project does not involve any of the human research categories</w:t>
      </w:r>
      <w:r w:rsidRPr="006740F0">
        <w:rPr>
          <w:b/>
        </w:rPr>
        <w:t>.</w:t>
      </w:r>
      <w:r w:rsidR="006644E4">
        <w:rPr>
          <w:b/>
        </w:rPr>
        <w:t xml:space="preserve"> </w:t>
      </w:r>
      <w:r w:rsidR="007E584F">
        <w:rPr>
          <w:b/>
        </w:rPr>
        <w:t xml:space="preserve">If any </w:t>
      </w:r>
      <w:r w:rsidR="00EA09EA">
        <w:rPr>
          <w:b/>
        </w:rPr>
        <w:t xml:space="preserve">activities </w:t>
      </w:r>
      <w:r w:rsidR="0057508F">
        <w:rPr>
          <w:b/>
        </w:rPr>
        <w:t>fall into the human research category</w:t>
      </w:r>
      <w:r w:rsidR="007E584F">
        <w:rPr>
          <w:b/>
        </w:rPr>
        <w:t xml:space="preserve">, </w:t>
      </w:r>
      <w:r w:rsidR="00EA09EA">
        <w:rPr>
          <w:b/>
        </w:rPr>
        <w:t>the project leader should contact OHR</w:t>
      </w:r>
      <w:r w:rsidR="00A1149C">
        <w:rPr>
          <w:b/>
        </w:rPr>
        <w:t xml:space="preserve"> for guidance</w:t>
      </w:r>
      <w:r w:rsidR="00EA09EA">
        <w:rPr>
          <w:b/>
        </w:rPr>
        <w:t>.</w:t>
      </w:r>
    </w:p>
    <w:p w14:paraId="67740212" w14:textId="77777777" w:rsidR="00EA09EA" w:rsidRPr="006740F0" w:rsidRDefault="00EA09EA" w:rsidP="00B32AFD">
      <w:pPr>
        <w:pBdr>
          <w:top w:val="single" w:sz="4" w:space="1" w:color="auto"/>
        </w:pBdr>
        <w:jc w:val="both"/>
        <w:rPr>
          <w:b/>
        </w:rPr>
      </w:pPr>
    </w:p>
    <w:p w14:paraId="7A4FAB4C" w14:textId="77777777" w:rsidR="00B32AFD" w:rsidRPr="006740F0" w:rsidRDefault="00B32AFD" w:rsidP="00B32AFD">
      <w:pPr>
        <w:jc w:val="both"/>
      </w:pPr>
      <w:r w:rsidRPr="006740F0">
        <w:t>________________________________________</w:t>
      </w:r>
    </w:p>
    <w:p w14:paraId="5D6B7D57" w14:textId="77777777" w:rsidR="00B32AFD" w:rsidRPr="006740F0" w:rsidRDefault="006644E4" w:rsidP="00B32AFD">
      <w:pPr>
        <w:jc w:val="both"/>
      </w:pPr>
      <w:r>
        <w:t>Project Leader</w:t>
      </w:r>
      <w:r w:rsidR="00B32AFD" w:rsidRPr="006740F0">
        <w:tab/>
      </w:r>
      <w:r w:rsidR="00B32AFD" w:rsidRPr="006740F0">
        <w:tab/>
      </w:r>
      <w:r w:rsidR="00B32AFD" w:rsidRPr="006740F0">
        <w:tab/>
        <w:t>Date</w:t>
      </w:r>
    </w:p>
    <w:p w14:paraId="693E8FC6" w14:textId="77777777" w:rsidR="001172DB" w:rsidRDefault="001172DB" w:rsidP="00B32AFD">
      <w:pPr>
        <w:jc w:val="both"/>
        <w:rPr>
          <w:b/>
        </w:rPr>
      </w:pPr>
    </w:p>
    <w:p w14:paraId="45F35FE9" w14:textId="44F43FC0" w:rsidR="00B32AFD" w:rsidRPr="006740F0" w:rsidRDefault="00325B32" w:rsidP="00B32AFD">
      <w:pPr>
        <w:jc w:val="both"/>
        <w:rPr>
          <w:b/>
        </w:rPr>
      </w:pPr>
      <w:r w:rsidRPr="006740F0">
        <w:rPr>
          <w:b/>
        </w:rPr>
        <w:t>WRITTEN DETERMINATIONS</w:t>
      </w:r>
    </w:p>
    <w:p w14:paraId="24B33ECB" w14:textId="77777777" w:rsidR="00B32AFD" w:rsidRPr="006740F0" w:rsidRDefault="00B32AFD" w:rsidP="00B32AFD">
      <w:pPr>
        <w:jc w:val="both"/>
      </w:pPr>
      <w:r w:rsidRPr="006740F0">
        <w:t>If a determination is required by a funding agency or sponsor, the investigator may submit a request for written confirmation along with the OHR-36 to the Office of Human Research, which will provide a written response.</w:t>
      </w:r>
    </w:p>
    <w:p w14:paraId="0B7CC0B9" w14:textId="77777777" w:rsidR="00B32AFD" w:rsidRPr="006740F0" w:rsidRDefault="00B32AFD" w:rsidP="00B32AFD">
      <w:pPr>
        <w:spacing w:after="0" w:line="240" w:lineRule="auto"/>
        <w:ind w:left="810" w:hanging="450"/>
        <w:jc w:val="both"/>
        <w:rPr>
          <w:rFonts w:eastAsia="Times New Roman"/>
          <w:sz w:val="23"/>
          <w:szCs w:val="23"/>
        </w:rPr>
      </w:pPr>
    </w:p>
    <w:sectPr w:rsidR="00B32AFD" w:rsidRPr="006740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54D68" w14:textId="77777777" w:rsidR="00412B17" w:rsidRDefault="00412B17" w:rsidP="001E330A">
      <w:pPr>
        <w:spacing w:after="0" w:line="240" w:lineRule="auto"/>
      </w:pPr>
      <w:r>
        <w:separator/>
      </w:r>
    </w:p>
  </w:endnote>
  <w:endnote w:type="continuationSeparator" w:id="0">
    <w:p w14:paraId="3638BD88" w14:textId="77777777" w:rsidR="00412B17" w:rsidRDefault="00412B17" w:rsidP="001E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E3B23" w14:textId="77777777" w:rsidR="00412B17" w:rsidRDefault="00412B17" w:rsidP="001E330A">
      <w:pPr>
        <w:spacing w:after="0" w:line="240" w:lineRule="auto"/>
      </w:pPr>
      <w:r>
        <w:separator/>
      </w:r>
    </w:p>
  </w:footnote>
  <w:footnote w:type="continuationSeparator" w:id="0">
    <w:p w14:paraId="15A613C3" w14:textId="77777777" w:rsidR="00412B17" w:rsidRDefault="00412B17" w:rsidP="001E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0C0B9" w14:textId="7FAA411F" w:rsidR="001E330A" w:rsidRDefault="004461BB" w:rsidP="004461BB">
    <w:pPr>
      <w:pStyle w:val="Header"/>
      <w:spacing w:after="0"/>
      <w:rPr>
        <w:rFonts w:ascii="Times New Roman" w:hAnsi="Times New Roman"/>
        <w:b/>
        <w:sz w:val="20"/>
        <w:szCs w:val="20"/>
      </w:rPr>
    </w:pPr>
    <w:r w:rsidRPr="004461BB">
      <w:rPr>
        <w:rFonts w:ascii="Times New Roman" w:eastAsia="Batang" w:hAnsi="Times New Roman"/>
        <w:sz w:val="20"/>
      </w:rPr>
      <w:t xml:space="preserve">Page </w:t>
    </w:r>
    <w:r w:rsidRPr="004461BB">
      <w:rPr>
        <w:rFonts w:ascii="Times New Roman" w:eastAsia="Batang" w:hAnsi="Times New Roman"/>
        <w:b/>
        <w:sz w:val="20"/>
      </w:rPr>
      <w:fldChar w:fldCharType="begin"/>
    </w:r>
    <w:r w:rsidRPr="004461BB">
      <w:rPr>
        <w:rFonts w:ascii="Times New Roman" w:eastAsia="Batang" w:hAnsi="Times New Roman"/>
        <w:b/>
        <w:sz w:val="20"/>
      </w:rPr>
      <w:instrText xml:space="preserve"> PAGE  \* Arabic  \* MERGEFORMAT </w:instrText>
    </w:r>
    <w:r w:rsidRPr="004461BB">
      <w:rPr>
        <w:rFonts w:ascii="Times New Roman" w:eastAsia="Batang" w:hAnsi="Times New Roman"/>
        <w:b/>
        <w:sz w:val="20"/>
      </w:rPr>
      <w:fldChar w:fldCharType="separate"/>
    </w:r>
    <w:r w:rsidR="004402A4">
      <w:rPr>
        <w:rFonts w:ascii="Times New Roman" w:eastAsia="Batang" w:hAnsi="Times New Roman"/>
        <w:b/>
        <w:noProof/>
        <w:sz w:val="20"/>
      </w:rPr>
      <w:t>1</w:t>
    </w:r>
    <w:r w:rsidRPr="004461BB">
      <w:rPr>
        <w:rFonts w:ascii="Times New Roman" w:eastAsia="Batang" w:hAnsi="Times New Roman"/>
        <w:b/>
        <w:sz w:val="20"/>
      </w:rPr>
      <w:fldChar w:fldCharType="end"/>
    </w:r>
    <w:r w:rsidRPr="004461BB">
      <w:rPr>
        <w:rFonts w:ascii="Times New Roman" w:eastAsia="Batang" w:hAnsi="Times New Roman"/>
        <w:sz w:val="20"/>
      </w:rPr>
      <w:t xml:space="preserve"> of </w:t>
    </w:r>
    <w:r w:rsidRPr="004461BB">
      <w:rPr>
        <w:rFonts w:ascii="Times New Roman" w:eastAsia="Batang" w:hAnsi="Times New Roman"/>
        <w:b/>
        <w:sz w:val="20"/>
      </w:rPr>
      <w:fldChar w:fldCharType="begin"/>
    </w:r>
    <w:r w:rsidRPr="004461BB">
      <w:rPr>
        <w:rFonts w:ascii="Times New Roman" w:eastAsia="Batang" w:hAnsi="Times New Roman"/>
        <w:b/>
        <w:sz w:val="20"/>
      </w:rPr>
      <w:instrText xml:space="preserve"> NUMPAGES  \* Arabic  \* MERGEFORMAT </w:instrText>
    </w:r>
    <w:r w:rsidRPr="004461BB">
      <w:rPr>
        <w:rFonts w:ascii="Times New Roman" w:eastAsia="Batang" w:hAnsi="Times New Roman"/>
        <w:b/>
        <w:sz w:val="20"/>
      </w:rPr>
      <w:fldChar w:fldCharType="separate"/>
    </w:r>
    <w:r w:rsidR="004402A4">
      <w:rPr>
        <w:rFonts w:ascii="Times New Roman" w:eastAsia="Batang" w:hAnsi="Times New Roman"/>
        <w:b/>
        <w:noProof/>
        <w:sz w:val="20"/>
      </w:rPr>
      <w:t>3</w:t>
    </w:r>
    <w:r w:rsidRPr="004461BB">
      <w:rPr>
        <w:rFonts w:ascii="Times New Roman" w:eastAsia="Batang" w:hAnsi="Times New Roman"/>
        <w:b/>
        <w:sz w:val="20"/>
      </w:rPr>
      <w:fldChar w:fldCharType="end"/>
    </w:r>
    <w:r w:rsidRPr="004461BB">
      <w:rPr>
        <w:rFonts w:ascii="Times New Roman" w:eastAsia="Batang" w:hAnsi="Times New Roman"/>
        <w:b/>
        <w:sz w:val="20"/>
      </w:rPr>
      <w:tab/>
    </w:r>
    <w:r w:rsidRPr="004461BB">
      <w:rPr>
        <w:rFonts w:ascii="Times New Roman" w:eastAsia="Batang" w:hAnsi="Times New Roman"/>
        <w:b/>
        <w:sz w:val="20"/>
      </w:rPr>
      <w:tab/>
    </w:r>
    <w:r w:rsidR="001E330A" w:rsidRPr="004461BB">
      <w:rPr>
        <w:rFonts w:ascii="Times New Roman" w:hAnsi="Times New Roman"/>
        <w:b/>
        <w:sz w:val="20"/>
        <w:szCs w:val="20"/>
      </w:rPr>
      <w:t>OHR-36</w:t>
    </w:r>
  </w:p>
  <w:p w14:paraId="29217D0C" w14:textId="19C2A92E" w:rsidR="00A46A30" w:rsidRPr="00A46A30" w:rsidRDefault="00A46A30" w:rsidP="004461BB">
    <w:pPr>
      <w:pStyle w:val="Header"/>
      <w:spacing w:after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Project Title: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D3094"/>
    <w:multiLevelType w:val="multilevel"/>
    <w:tmpl w:val="975A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95D44"/>
    <w:multiLevelType w:val="multilevel"/>
    <w:tmpl w:val="9CC8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0A"/>
    <w:rsid w:val="0002473B"/>
    <w:rsid w:val="00086977"/>
    <w:rsid w:val="001172DB"/>
    <w:rsid w:val="00142CE6"/>
    <w:rsid w:val="00180399"/>
    <w:rsid w:val="00191E13"/>
    <w:rsid w:val="001945F3"/>
    <w:rsid w:val="001D6661"/>
    <w:rsid w:val="001E330A"/>
    <w:rsid w:val="002204DA"/>
    <w:rsid w:val="0025491B"/>
    <w:rsid w:val="00266D85"/>
    <w:rsid w:val="00277F97"/>
    <w:rsid w:val="00325B32"/>
    <w:rsid w:val="00371CE7"/>
    <w:rsid w:val="003824C0"/>
    <w:rsid w:val="00384B75"/>
    <w:rsid w:val="00384E4A"/>
    <w:rsid w:val="003A0428"/>
    <w:rsid w:val="003A4DDD"/>
    <w:rsid w:val="003A6210"/>
    <w:rsid w:val="003C045E"/>
    <w:rsid w:val="003F3866"/>
    <w:rsid w:val="004066A1"/>
    <w:rsid w:val="00412B17"/>
    <w:rsid w:val="004402A4"/>
    <w:rsid w:val="004461BB"/>
    <w:rsid w:val="00491343"/>
    <w:rsid w:val="0049771D"/>
    <w:rsid w:val="004A5AB9"/>
    <w:rsid w:val="004D7F0A"/>
    <w:rsid w:val="0057508F"/>
    <w:rsid w:val="00582C1A"/>
    <w:rsid w:val="005830C5"/>
    <w:rsid w:val="005A4F3F"/>
    <w:rsid w:val="005B3BDA"/>
    <w:rsid w:val="00616E09"/>
    <w:rsid w:val="0063192F"/>
    <w:rsid w:val="006349BA"/>
    <w:rsid w:val="006644E4"/>
    <w:rsid w:val="006740F0"/>
    <w:rsid w:val="006C0F40"/>
    <w:rsid w:val="006D6A99"/>
    <w:rsid w:val="00730238"/>
    <w:rsid w:val="00773BE4"/>
    <w:rsid w:val="007B35B3"/>
    <w:rsid w:val="007B727B"/>
    <w:rsid w:val="007E584F"/>
    <w:rsid w:val="007E786A"/>
    <w:rsid w:val="007F55A0"/>
    <w:rsid w:val="007F5C14"/>
    <w:rsid w:val="00834CC3"/>
    <w:rsid w:val="00836728"/>
    <w:rsid w:val="0084485E"/>
    <w:rsid w:val="00857F45"/>
    <w:rsid w:val="00881D37"/>
    <w:rsid w:val="00890F16"/>
    <w:rsid w:val="00901A76"/>
    <w:rsid w:val="009027EA"/>
    <w:rsid w:val="009940EC"/>
    <w:rsid w:val="009D49F0"/>
    <w:rsid w:val="009E5163"/>
    <w:rsid w:val="009F43CE"/>
    <w:rsid w:val="00A1149C"/>
    <w:rsid w:val="00A46A30"/>
    <w:rsid w:val="00A60C2C"/>
    <w:rsid w:val="00A70A35"/>
    <w:rsid w:val="00A80F05"/>
    <w:rsid w:val="00A81218"/>
    <w:rsid w:val="00A9161A"/>
    <w:rsid w:val="00A96C4D"/>
    <w:rsid w:val="00AD369A"/>
    <w:rsid w:val="00B02DDC"/>
    <w:rsid w:val="00B32AFD"/>
    <w:rsid w:val="00B54919"/>
    <w:rsid w:val="00BD0163"/>
    <w:rsid w:val="00BF6BAB"/>
    <w:rsid w:val="00C30991"/>
    <w:rsid w:val="00C40C64"/>
    <w:rsid w:val="00CA607F"/>
    <w:rsid w:val="00CC63C6"/>
    <w:rsid w:val="00D42243"/>
    <w:rsid w:val="00D83D64"/>
    <w:rsid w:val="00E054EC"/>
    <w:rsid w:val="00E2236E"/>
    <w:rsid w:val="00EA09EA"/>
    <w:rsid w:val="00EE44E9"/>
    <w:rsid w:val="00F6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2A79"/>
  <w15:docId w15:val="{5B91B6AA-DAFA-4C7D-BE25-89608C54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61BB"/>
    <w:pPr>
      <w:keepNext/>
      <w:spacing w:after="0" w:line="240" w:lineRule="auto"/>
      <w:ind w:right="-720"/>
      <w:jc w:val="center"/>
      <w:outlineLvl w:val="0"/>
    </w:pPr>
    <w:rPr>
      <w:rFonts w:ascii="Bookman" w:eastAsia="Times New Roman" w:hAnsi="Book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E33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33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330A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1E33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E330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42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C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C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C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786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4461B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461BB"/>
    <w:rPr>
      <w:rFonts w:ascii="Times New Roman" w:eastAsia="Times New Roman" w:hAnsi="Times New Roman"/>
      <w:b/>
      <w:sz w:val="24"/>
    </w:rPr>
  </w:style>
  <w:style w:type="character" w:customStyle="1" w:styleId="Heading1Char">
    <w:name w:val="Heading 1 Char"/>
    <w:basedOn w:val="DefaultParagraphFont"/>
    <w:link w:val="Heading1"/>
    <w:rsid w:val="004461BB"/>
    <w:rPr>
      <w:rFonts w:ascii="Bookman" w:eastAsia="Times New Roman" w:hAnsi="Book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Jefferson University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Conner</dc:creator>
  <cp:lastModifiedBy>Johanna Yates</cp:lastModifiedBy>
  <cp:revision>65</cp:revision>
  <cp:lastPrinted>2019-02-22T19:04:00Z</cp:lastPrinted>
  <dcterms:created xsi:type="dcterms:W3CDTF">2018-07-19T15:32:00Z</dcterms:created>
  <dcterms:modified xsi:type="dcterms:W3CDTF">2020-05-26T18:31:00Z</dcterms:modified>
</cp:coreProperties>
</file>