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8C" w:rsidRDefault="00721520">
      <w:r>
        <w:t xml:space="preserve">The below items are </w:t>
      </w:r>
      <w:r w:rsidR="00F201BE">
        <w:t>some of the</w:t>
      </w:r>
      <w:r>
        <w:t xml:space="preserve"> requirements that </w:t>
      </w:r>
      <w:r w:rsidR="009F3CC6">
        <w:t>are typically expected to be found in a</w:t>
      </w:r>
      <w:r w:rsidR="00CD608B">
        <w:t>ny</w:t>
      </w:r>
      <w:r w:rsidR="009F3CC6">
        <w:t xml:space="preserve"> research study’s files.</w:t>
      </w:r>
      <w:r w:rsidR="00CD608B">
        <w:t xml:space="preserve"> </w:t>
      </w:r>
      <w:r w:rsidR="009A4C9F">
        <w:t>Each document must be</w:t>
      </w:r>
      <w:r w:rsidR="00B31745">
        <w:t xml:space="preserve"> readily available</w:t>
      </w:r>
      <w:r w:rsidR="009A4C9F">
        <w:t xml:space="preserve"> and maintained in </w:t>
      </w:r>
      <w:r w:rsidR="00B31745">
        <w:t xml:space="preserve">organized </w:t>
      </w:r>
      <w:r w:rsidR="009A4C9F">
        <w:t xml:space="preserve">study files. </w:t>
      </w:r>
      <w:r w:rsidR="00F201BE">
        <w:t>S</w:t>
      </w:r>
      <w:r w:rsidR="00CD608B">
        <w:t>tudy and subject-related templates can be found on the OHR website under the “Investigator &amp; Coordinator Documentation” tab in “Essential Study Documentation”</w:t>
      </w:r>
      <w:r w:rsidR="000D09CF">
        <w:t xml:space="preserve">: </w:t>
      </w:r>
      <w:hyperlink r:id="rId7" w:history="1">
        <w:r w:rsidR="000D09CF" w:rsidRPr="00007ECC">
          <w:rPr>
            <w:rStyle w:val="Hyperlink"/>
          </w:rPr>
          <w:t>https://www.jefferson.edu/university/human_research/resources/essential-study-documentation.html</w:t>
        </w:r>
      </w:hyperlink>
      <w:r w:rsidR="005F62AD">
        <w:t>.</w:t>
      </w:r>
      <w:r w:rsidR="000D0636">
        <w:t xml:space="preserve"> In some cases, the templates can be customized for a particular study.</w:t>
      </w:r>
      <w:r w:rsidR="005F62AD">
        <w:t xml:space="preserve"> </w:t>
      </w:r>
      <w:r w:rsidR="007A3085">
        <w:rPr>
          <w:sz w:val="24"/>
          <w:szCs w:val="24"/>
        </w:rPr>
        <w:t xml:space="preserve">For any questions on the below, or if you have any new suggestions, please contact </w:t>
      </w:r>
      <w:hyperlink r:id="rId8" w:history="1">
        <w:r w:rsidR="007A3085">
          <w:rPr>
            <w:rStyle w:val="Hyperlink"/>
            <w:sz w:val="24"/>
            <w:szCs w:val="24"/>
          </w:rPr>
          <w:t>Johanna.Yates@Jefferson.edu</w:t>
        </w:r>
      </w:hyperlink>
      <w:r w:rsidR="002D23FF">
        <w:t xml:space="preserve"> or </w:t>
      </w:r>
      <w:hyperlink r:id="rId9" w:history="1">
        <w:r w:rsidR="002D23FF" w:rsidRPr="00007ECC">
          <w:rPr>
            <w:rStyle w:val="Hyperlink"/>
          </w:rPr>
          <w:t>Patrick.Herbison@Jefferson.edu</w:t>
        </w:r>
      </w:hyperlink>
      <w:r w:rsidR="007A3085">
        <w:rPr>
          <w:sz w:val="24"/>
          <w:szCs w:val="24"/>
        </w:rPr>
        <w:t>.</w:t>
      </w:r>
      <w:r w:rsidR="000D09CF">
        <w:t xml:space="preserve"> </w:t>
      </w:r>
    </w:p>
    <w:p w:rsidR="003444FD" w:rsidRDefault="003444FD" w:rsidP="003444FD">
      <w:pPr>
        <w:spacing w:after="0" w:line="360" w:lineRule="auto"/>
        <w:contextualSpacing/>
        <w:rPr>
          <w:rFonts w:eastAsia="Times New Roman" w:cs="Calibri"/>
          <w:color w:val="000000"/>
        </w:rPr>
      </w:pPr>
    </w:p>
    <w:p w:rsidR="00597440" w:rsidRDefault="00597440" w:rsidP="003444FD">
      <w:pPr>
        <w:spacing w:after="0" w:line="360" w:lineRule="auto"/>
        <w:contextualSpacing/>
        <w:rPr>
          <w:color w:val="1F497D"/>
        </w:rPr>
      </w:pPr>
    </w:p>
    <w:p w:rsidR="003444FD" w:rsidRPr="00EE5E64" w:rsidRDefault="003444FD" w:rsidP="00EE5E64">
      <w:pPr>
        <w:rPr>
          <w:b/>
          <w:sz w:val="24"/>
        </w:rPr>
      </w:pPr>
      <w:r w:rsidRPr="003F45F2">
        <w:rPr>
          <w:b/>
          <w:sz w:val="24"/>
        </w:rPr>
        <w:t>Regulatory Approval</w:t>
      </w:r>
      <w:r w:rsidRPr="00EE5E64">
        <w:rPr>
          <w:b/>
          <w:sz w:val="24"/>
        </w:rPr>
        <w:t xml:space="preserve"> </w:t>
      </w:r>
    </w:p>
    <w:p w:rsidR="00060ABC" w:rsidRPr="004C64BC" w:rsidRDefault="008F1F42" w:rsidP="00953A43">
      <w:pPr>
        <w:ind w:left="720"/>
      </w:pPr>
      <w:r w:rsidRPr="00F813C0">
        <w:rPr>
          <w:u w:val="single"/>
        </w:rPr>
        <w:t xml:space="preserve">This documentation is typically required for </w:t>
      </w:r>
      <w:r w:rsidR="003444FD" w:rsidRPr="00611F65">
        <w:rPr>
          <w:u w:val="single"/>
        </w:rPr>
        <w:t>FDA regulated studies</w:t>
      </w:r>
      <w:r w:rsidR="000D0636" w:rsidRPr="00611F65">
        <w:rPr>
          <w:u w:val="single"/>
        </w:rPr>
        <w:t xml:space="preserve"> involving drugs, biologics, and devices</w:t>
      </w:r>
      <w:r w:rsidR="000D0636">
        <w:t>. For these studies</w:t>
      </w:r>
      <w:r w:rsidR="003444FD" w:rsidRPr="00953A43">
        <w:t xml:space="preserve">, </w:t>
      </w:r>
      <w:r w:rsidR="0012171E">
        <w:t>a copy of the</w:t>
      </w:r>
      <w:r w:rsidR="003444FD" w:rsidRPr="00953A43">
        <w:t xml:space="preserve"> I</w:t>
      </w:r>
      <w:r w:rsidR="0026191D" w:rsidRPr="00953A43">
        <w:t xml:space="preserve">nvestigational </w:t>
      </w:r>
      <w:r w:rsidR="003444FD" w:rsidRPr="00953A43">
        <w:t>N</w:t>
      </w:r>
      <w:r w:rsidR="0026191D" w:rsidRPr="00953A43">
        <w:t xml:space="preserve">ew </w:t>
      </w:r>
      <w:r w:rsidR="003444FD" w:rsidRPr="00953A43">
        <w:t>D</w:t>
      </w:r>
      <w:r w:rsidR="0026191D" w:rsidRPr="00953A43">
        <w:t>rug (IND)</w:t>
      </w:r>
      <w:r w:rsidR="003444FD" w:rsidRPr="00953A43">
        <w:t xml:space="preserve"> / </w:t>
      </w:r>
      <w:r w:rsidR="0026191D" w:rsidRPr="00953A43">
        <w:t>Investigational Device Exemption (</w:t>
      </w:r>
      <w:r w:rsidR="003444FD" w:rsidRPr="00953A43">
        <w:t>IDE</w:t>
      </w:r>
      <w:r w:rsidR="0026191D" w:rsidRPr="00953A43">
        <w:t>)</w:t>
      </w:r>
      <w:r w:rsidR="00A66C94" w:rsidRPr="00953A43">
        <w:t xml:space="preserve"> / study approval </w:t>
      </w:r>
      <w:r w:rsidR="008C2FA4" w:rsidRPr="00953A43">
        <w:t>documentation</w:t>
      </w:r>
      <w:r w:rsidR="00EB53B1">
        <w:t xml:space="preserve"> (and all corresponding documents)</w:t>
      </w:r>
      <w:r w:rsidR="008C2FA4" w:rsidRPr="00953A43">
        <w:t xml:space="preserve"> </w:t>
      </w:r>
      <w:r w:rsidR="00A66C94" w:rsidRPr="00953A43">
        <w:t>is required</w:t>
      </w:r>
      <w:r w:rsidR="008427FF">
        <w:t>.</w:t>
      </w:r>
    </w:p>
    <w:p w:rsidR="008B158C" w:rsidRDefault="008B158C">
      <w:bookmarkStart w:id="0" w:name="_GoBack"/>
      <w:bookmarkEnd w:id="0"/>
    </w:p>
    <w:p w:rsidR="00EE5E64" w:rsidRPr="00EE5E64" w:rsidRDefault="00EE5E64" w:rsidP="00EE5E64">
      <w:pPr>
        <w:rPr>
          <w:b/>
          <w:sz w:val="24"/>
        </w:rPr>
      </w:pPr>
      <w:r w:rsidRPr="003F45F2">
        <w:rPr>
          <w:b/>
          <w:sz w:val="24"/>
        </w:rPr>
        <w:t>Protocol</w:t>
      </w:r>
      <w:r w:rsidR="00720955" w:rsidRPr="003F45F2">
        <w:rPr>
          <w:b/>
          <w:sz w:val="24"/>
        </w:rPr>
        <w:t>s</w:t>
      </w:r>
      <w:r w:rsidRPr="003F45F2">
        <w:rPr>
          <w:b/>
          <w:sz w:val="24"/>
        </w:rPr>
        <w:t>, Amendments</w:t>
      </w:r>
      <w:r w:rsidR="00720955" w:rsidRPr="003F45F2">
        <w:rPr>
          <w:b/>
          <w:sz w:val="24"/>
        </w:rPr>
        <w:t>,</w:t>
      </w:r>
      <w:r w:rsidR="006E6EA0" w:rsidRPr="003F45F2">
        <w:rPr>
          <w:b/>
          <w:sz w:val="24"/>
        </w:rPr>
        <w:t xml:space="preserve"> and Signature Pages</w:t>
      </w:r>
    </w:p>
    <w:p w:rsidR="00EE5E64" w:rsidRPr="008649C8" w:rsidRDefault="00EE5E64" w:rsidP="008649C8">
      <w:pPr>
        <w:ind w:left="720"/>
      </w:pPr>
      <w:r w:rsidRPr="008649C8">
        <w:t>Protocols and amendments</w:t>
      </w:r>
      <w:r w:rsidR="00777D8D">
        <w:t>,</w:t>
      </w:r>
      <w:r w:rsidRPr="008649C8">
        <w:t xml:space="preserve"> including the signature pages signed by the PI and, as applicable, the sponsor</w:t>
      </w:r>
      <w:r w:rsidR="00FC3E7C">
        <w:t>.</w:t>
      </w:r>
      <w:r w:rsidRPr="008649C8">
        <w:t xml:space="preserve"> This section is not for the IRB submission forms.</w:t>
      </w:r>
    </w:p>
    <w:p w:rsidR="00EE5E64" w:rsidRPr="008B158C" w:rsidRDefault="00EE5E64"/>
    <w:p w:rsidR="001540FF" w:rsidRPr="004C0C1B" w:rsidRDefault="00EE5E64">
      <w:pPr>
        <w:rPr>
          <w:b/>
          <w:sz w:val="24"/>
        </w:rPr>
      </w:pPr>
      <w:r w:rsidRPr="003F45F2">
        <w:rPr>
          <w:b/>
          <w:sz w:val="24"/>
        </w:rPr>
        <w:t xml:space="preserve">Curriculum Vitae (CV) and Professional </w:t>
      </w:r>
      <w:r w:rsidR="0064725A" w:rsidRPr="003F45F2">
        <w:rPr>
          <w:b/>
          <w:sz w:val="24"/>
        </w:rPr>
        <w:t>Licenses</w:t>
      </w:r>
    </w:p>
    <w:p w:rsidR="0064725A" w:rsidRDefault="00C97BDB" w:rsidP="008649C8">
      <w:pPr>
        <w:ind w:left="720"/>
      </w:pPr>
      <w:r>
        <w:t xml:space="preserve">CVs and Licenses are important to </w:t>
      </w:r>
      <w:r w:rsidR="004161AE">
        <w:t>maintain</w:t>
      </w:r>
      <w:r>
        <w:t xml:space="preserve"> in order to show that </w:t>
      </w:r>
      <w:r w:rsidR="00EE5E64">
        <w:t>all Investigators and key personnel</w:t>
      </w:r>
      <w:r>
        <w:t xml:space="preserve"> are qualified to perform their respective study responsibilities.</w:t>
      </w:r>
      <w:r w:rsidR="00D94DEB">
        <w:t xml:space="preserve"> </w:t>
      </w:r>
      <w:r w:rsidR="002C561D">
        <w:t xml:space="preserve">Each CV should be signed and dated, and updated and re-signed and dated every 2 years. Each signed and dated CV should be </w:t>
      </w:r>
      <w:r w:rsidR="00EC66C0">
        <w:t>maintained</w:t>
      </w:r>
      <w:r w:rsidR="002C561D">
        <w:t xml:space="preserve"> for the</w:t>
      </w:r>
      <w:r w:rsidR="00FC271E">
        <w:t xml:space="preserve"> entire</w:t>
      </w:r>
      <w:r w:rsidR="002C561D">
        <w:t xml:space="preserve"> length of time the research person is on the </w:t>
      </w:r>
      <w:r w:rsidR="00235BD0">
        <w:t>study. Licenses do not need to be signed and dated; however, they need to be valid and current every 2 years.</w:t>
      </w:r>
    </w:p>
    <w:p w:rsidR="0064725A" w:rsidRDefault="0064725A"/>
    <w:p w:rsidR="00EE5E64" w:rsidRPr="00EE5E64" w:rsidRDefault="00EE5E64" w:rsidP="00EE5E64">
      <w:pPr>
        <w:rPr>
          <w:b/>
          <w:sz w:val="24"/>
        </w:rPr>
      </w:pPr>
      <w:r w:rsidRPr="00545948">
        <w:rPr>
          <w:b/>
          <w:sz w:val="24"/>
        </w:rPr>
        <w:t>FDA Form 1572</w:t>
      </w:r>
    </w:p>
    <w:p w:rsidR="00060ABC" w:rsidRPr="00277FA1" w:rsidRDefault="00EE5E64" w:rsidP="00277FA1">
      <w:pPr>
        <w:ind w:left="720"/>
      </w:pPr>
      <w:r w:rsidRPr="00F813C0">
        <w:rPr>
          <w:u w:val="single"/>
        </w:rPr>
        <w:lastRenderedPageBreak/>
        <w:t>For FDA regulated studies, the Statement of Investigator Form 1572</w:t>
      </w:r>
      <w:r w:rsidR="00277FA1" w:rsidRPr="00F813C0">
        <w:rPr>
          <w:u w:val="single"/>
        </w:rPr>
        <w:t xml:space="preserve"> is a document that is required to be signed by the Principal Investigator when the study </w:t>
      </w:r>
      <w:r w:rsidR="00AD25D5" w:rsidRPr="00F813C0">
        <w:rPr>
          <w:u w:val="single"/>
        </w:rPr>
        <w:t>involves a new drug or biologic</w:t>
      </w:r>
      <w:r w:rsidR="00AD25D5">
        <w:t>.</w:t>
      </w:r>
      <w:r w:rsidR="00701C15">
        <w:t xml:space="preserve"> This document is typically provided by the sponsor and requires full completion and sign–off by the PI </w:t>
      </w:r>
      <w:r w:rsidR="00545069">
        <w:t>before study startup.</w:t>
      </w:r>
      <w:r w:rsidR="00305919">
        <w:t xml:space="preserve"> Significant updates, such as a PI or Protocol/IND change, requires a new FDA 1572 to be completed and signed off. Other minor updates, such as a change in Co-Investigators, does not require a new FDA 1572, but should still be documented in the study records and communicated to the sponsor.</w:t>
      </w:r>
    </w:p>
    <w:p w:rsidR="00EE5E64" w:rsidRDefault="00EE5E64"/>
    <w:p w:rsidR="009D329A" w:rsidRPr="00E30244" w:rsidRDefault="00F276BF">
      <w:pPr>
        <w:rPr>
          <w:b/>
          <w:sz w:val="24"/>
        </w:rPr>
      </w:pPr>
      <w:r w:rsidRPr="00545948">
        <w:rPr>
          <w:b/>
          <w:sz w:val="24"/>
        </w:rPr>
        <w:t xml:space="preserve">Delegation </w:t>
      </w:r>
      <w:r w:rsidR="00EE5E64" w:rsidRPr="00545948">
        <w:rPr>
          <w:b/>
          <w:sz w:val="24"/>
        </w:rPr>
        <w:t xml:space="preserve">of Responsibility </w:t>
      </w:r>
      <w:r w:rsidRPr="00545948">
        <w:rPr>
          <w:b/>
          <w:sz w:val="24"/>
        </w:rPr>
        <w:t>Log</w:t>
      </w:r>
    </w:p>
    <w:p w:rsidR="0064725A" w:rsidRDefault="00A16D80" w:rsidP="008649C8">
      <w:pPr>
        <w:ind w:left="720"/>
      </w:pPr>
      <w:r w:rsidRPr="00A16D80">
        <w:t xml:space="preserve">The PI should document in writing </w:t>
      </w:r>
      <w:r w:rsidR="00EE5E64">
        <w:t>the study</w:t>
      </w:r>
      <w:r w:rsidRPr="00A16D80">
        <w:t xml:space="preserve"> re</w:t>
      </w:r>
      <w:r w:rsidR="00EE5E64">
        <w:t xml:space="preserve">sponsibilities delegated to all team </w:t>
      </w:r>
      <w:r w:rsidRPr="00A16D80">
        <w:t>members</w:t>
      </w:r>
      <w:r w:rsidR="00083A20">
        <w:t xml:space="preserve">, </w:t>
      </w:r>
      <w:r w:rsidR="00EC66C0">
        <w:t>including the PI</w:t>
      </w:r>
      <w:r w:rsidRPr="00A16D80">
        <w:t>.</w:t>
      </w:r>
      <w:r w:rsidR="00C97BDB">
        <w:t xml:space="preserve"> The best, and easiest, way to do this is with a</w:t>
      </w:r>
      <w:r w:rsidR="002639BF">
        <w:t xml:space="preserve"> delegation </w:t>
      </w:r>
      <w:r w:rsidR="00C97BDB">
        <w:t>log.</w:t>
      </w:r>
      <w:r w:rsidR="00FC4C45">
        <w:t xml:space="preserve"> </w:t>
      </w:r>
      <w:r w:rsidR="00083A20">
        <w:t>The delegation log</w:t>
      </w:r>
      <w:r w:rsidR="001436D2">
        <w:t xml:space="preserve"> is a list of personnel on the study </w:t>
      </w:r>
      <w:r w:rsidR="0070327C">
        <w:t xml:space="preserve">showing their study responsibilities throughout the duration of the research study. </w:t>
      </w:r>
      <w:r w:rsidR="00FC4C45">
        <w:t xml:space="preserve">Each study person on the delegation log should sign </w:t>
      </w:r>
      <w:r w:rsidR="009F31E2">
        <w:t xml:space="preserve">next to their printed name </w:t>
      </w:r>
      <w:r w:rsidR="00FC4C45">
        <w:t xml:space="preserve">in order to show their acknowledgement </w:t>
      </w:r>
      <w:r w:rsidR="009F31E2">
        <w:t>of</w:t>
      </w:r>
      <w:r w:rsidR="00FC4C45">
        <w:t xml:space="preserve"> their role in the study. </w:t>
      </w:r>
      <w:r w:rsidR="009F31E2">
        <w:t>Dates for each study staff member should be present to show the</w:t>
      </w:r>
      <w:r w:rsidR="001D7251">
        <w:t>ir individual</w:t>
      </w:r>
      <w:r w:rsidR="009F31E2">
        <w:t xml:space="preserve"> start and end dates. </w:t>
      </w:r>
      <w:r w:rsidR="00FC4C45">
        <w:t>The</w:t>
      </w:r>
      <w:r w:rsidR="009F31E2">
        <w:t xml:space="preserve"> easiest way for the</w:t>
      </w:r>
      <w:r w:rsidR="00FC4C45">
        <w:t xml:space="preserve"> Principal Investigator </w:t>
      </w:r>
      <w:r w:rsidR="009F31E2">
        <w:t>to</w:t>
      </w:r>
      <w:r w:rsidR="00FC4C45">
        <w:t xml:space="preserve"> show over</w:t>
      </w:r>
      <w:r w:rsidR="00BE0686">
        <w:t xml:space="preserve">sight </w:t>
      </w:r>
      <w:r w:rsidR="009F31E2">
        <w:t xml:space="preserve">is </w:t>
      </w:r>
      <w:r w:rsidR="00BE0686">
        <w:t xml:space="preserve">by signing, or initialing, next to each staff’s </w:t>
      </w:r>
      <w:r w:rsidR="009F31E2">
        <w:t>study start date</w:t>
      </w:r>
      <w:r w:rsidR="00BE0686">
        <w:t>.</w:t>
      </w:r>
      <w:r w:rsidR="009F31E2">
        <w:t xml:space="preserve"> In addition, the PI should sign, or initial, next to each staff’s study end date.</w:t>
      </w:r>
      <w:r w:rsidR="005A6CF4">
        <w:t xml:space="preserve"> A blank template is </w:t>
      </w:r>
      <w:r w:rsidR="00057DE7">
        <w:t>provided under “Essential Study Documentation” on the OHR website.</w:t>
      </w:r>
      <w:r w:rsidR="005A6CF4">
        <w:t xml:space="preserve"> This template </w:t>
      </w:r>
      <w:r w:rsidR="005F225E">
        <w:t>should</w:t>
      </w:r>
      <w:r w:rsidR="005A6CF4">
        <w:t xml:space="preserve"> be modified to match the study protocol (i.e., if there are no subjects</w:t>
      </w:r>
      <w:r w:rsidR="005F225E">
        <w:t xml:space="preserve"> in the study</w:t>
      </w:r>
      <w:r w:rsidR="005A6CF4">
        <w:t>,</w:t>
      </w:r>
      <w:r w:rsidR="00CA274E">
        <w:t xml:space="preserve"> </w:t>
      </w:r>
      <w:r w:rsidR="005A6CF4">
        <w:t>“</w:t>
      </w:r>
      <w:r w:rsidR="00F95FD4">
        <w:t>I</w:t>
      </w:r>
      <w:r w:rsidR="005A6CF4">
        <w:t xml:space="preserve">nformed </w:t>
      </w:r>
      <w:r w:rsidR="00F95FD4">
        <w:t>C</w:t>
      </w:r>
      <w:r w:rsidR="005A6CF4">
        <w:t>onsent</w:t>
      </w:r>
      <w:r w:rsidR="00F95FD4">
        <w:t xml:space="preserve"> Process</w:t>
      </w:r>
      <w:r w:rsidR="005A6CF4">
        <w:t xml:space="preserve">” </w:t>
      </w:r>
      <w:r w:rsidR="005F225E">
        <w:t>should</w:t>
      </w:r>
      <w:r w:rsidR="005A6CF4">
        <w:t xml:space="preserve"> be removed from the list of </w:t>
      </w:r>
      <w:r w:rsidR="005F225E">
        <w:t>“</w:t>
      </w:r>
      <w:r w:rsidR="005A6CF4">
        <w:t>Study Responsibilities</w:t>
      </w:r>
      <w:r w:rsidR="005F225E">
        <w:t>”</w:t>
      </w:r>
      <w:r w:rsidR="005A6CF4">
        <w:t>.)</w:t>
      </w:r>
      <w:r w:rsidR="001D7251">
        <w:t xml:space="preserve"> </w:t>
      </w:r>
      <w:r w:rsidR="00E02FB5">
        <w:t>S</w:t>
      </w:r>
      <w:r w:rsidR="001D7251">
        <w:t>tudy responsibilities should be delegated</w:t>
      </w:r>
      <w:r w:rsidR="00E02FB5">
        <w:t xml:space="preserve"> only to</w:t>
      </w:r>
      <w:r w:rsidR="001D7251">
        <w:t xml:space="preserve"> appropriate study personnel. </w:t>
      </w:r>
      <w:r w:rsidR="00E02FB5">
        <w:t xml:space="preserve">For example, a </w:t>
      </w:r>
      <w:r w:rsidR="00EB176C">
        <w:t>Study</w:t>
      </w:r>
      <w:r w:rsidR="00246571">
        <w:t xml:space="preserve"> Nurse</w:t>
      </w:r>
      <w:r w:rsidR="00EB176C">
        <w:t xml:space="preserve"> Coordinator’s</w:t>
      </w:r>
      <w:r w:rsidR="00E02FB5">
        <w:t xml:space="preserve"> responsibility should not state “</w:t>
      </w:r>
      <w:r w:rsidR="00EB176C">
        <w:t>Physical Examination</w:t>
      </w:r>
      <w:r w:rsidR="00E02FB5">
        <w:t>”</w:t>
      </w:r>
      <w:r w:rsidR="003D1279">
        <w:t>, as a physical examination should only be completed by a physician, nurse practitioner, or a physician assistant</w:t>
      </w:r>
      <w:r w:rsidR="00E02FB5">
        <w:t xml:space="preserve">. In addition, unless inapplicable, there should be no study responsibilities undelegated. </w:t>
      </w:r>
    </w:p>
    <w:p w:rsidR="00597440" w:rsidRDefault="00597440">
      <w:pPr>
        <w:rPr>
          <w:b/>
          <w:sz w:val="24"/>
        </w:rPr>
      </w:pPr>
    </w:p>
    <w:p w:rsidR="001540FF" w:rsidRPr="004C0C1B" w:rsidRDefault="00F276BF">
      <w:pPr>
        <w:rPr>
          <w:b/>
          <w:sz w:val="24"/>
        </w:rPr>
      </w:pPr>
      <w:r w:rsidRPr="00545948">
        <w:rPr>
          <w:b/>
          <w:sz w:val="24"/>
        </w:rPr>
        <w:t>Training Log</w:t>
      </w:r>
    </w:p>
    <w:p w:rsidR="0064725A" w:rsidRDefault="0064725A" w:rsidP="008649C8">
      <w:pPr>
        <w:ind w:left="720"/>
      </w:pPr>
      <w:r>
        <w:t xml:space="preserve">Training </w:t>
      </w:r>
      <w:r w:rsidR="00A16D80">
        <w:t>should</w:t>
      </w:r>
      <w:r>
        <w:t xml:space="preserve"> be documented in order to </w:t>
      </w:r>
      <w:r w:rsidR="001540FF">
        <w:t xml:space="preserve">show that each study person has been </w:t>
      </w:r>
      <w:r w:rsidR="00177AF3">
        <w:t>trained</w:t>
      </w:r>
      <w:r w:rsidR="00C46C93">
        <w:t xml:space="preserve"> on the protocol</w:t>
      </w:r>
      <w:r w:rsidR="001540FF">
        <w:t>, and is now knowledgeable</w:t>
      </w:r>
      <w:r w:rsidR="00177AF3">
        <w:t xml:space="preserve"> and capable</w:t>
      </w:r>
      <w:r w:rsidR="001540FF">
        <w:t xml:space="preserve">, to perform the tasks documented in the delegation log. </w:t>
      </w:r>
      <w:r w:rsidR="00367E37">
        <w:t>The best, and easiest, way to do this is with a training log.</w:t>
      </w:r>
      <w:r w:rsidR="00FD3E44">
        <w:t xml:space="preserve"> Those on the delegation log should </w:t>
      </w:r>
      <w:r w:rsidR="00177AF3">
        <w:t>usually</w:t>
      </w:r>
      <w:r w:rsidR="00FD3E44">
        <w:t xml:space="preserve"> be those on the training log. Each person on the training log should sign next to their printed name to show they have been adequately trained to perform the appropriate tasks, according to their responsibilities on the delegation log. The dates on the training log should be the date the study person was trained. </w:t>
      </w:r>
      <w:r w:rsidR="00E85A1D">
        <w:t>Study personnel</w:t>
      </w:r>
      <w:r w:rsidR="00FD3E44">
        <w:t xml:space="preserve"> can be </w:t>
      </w:r>
      <w:r w:rsidR="00E85A1D">
        <w:t>trained</w:t>
      </w:r>
      <w:r w:rsidR="00FD3E44">
        <w:t xml:space="preserve"> by the sponsor, Investigator, or </w:t>
      </w:r>
      <w:r w:rsidR="00FC3362">
        <w:t>by</w:t>
      </w:r>
      <w:r w:rsidR="00FD3E44">
        <w:t xml:space="preserve"> an</w:t>
      </w:r>
      <w:r w:rsidR="00AB3A64">
        <w:t>other</w:t>
      </w:r>
      <w:r w:rsidR="00FD3E44">
        <w:t xml:space="preserve"> appropriate design</w:t>
      </w:r>
      <w:r w:rsidR="00AB3A64">
        <w:t>at</w:t>
      </w:r>
      <w:r w:rsidR="00FD3E44">
        <w:t xml:space="preserve">ed </w:t>
      </w:r>
      <w:r w:rsidR="00AB3A64">
        <w:t>study person</w:t>
      </w:r>
      <w:r w:rsidR="00177AF3">
        <w:t xml:space="preserve"> (i.e., Principal Investigator)</w:t>
      </w:r>
      <w:r w:rsidR="00FD3E44">
        <w:t>.</w:t>
      </w:r>
      <w:r w:rsidR="00AB3A64">
        <w:t xml:space="preserve"> Ongoing training should be documented on the training log.</w:t>
      </w:r>
      <w:r w:rsidR="002C4D05">
        <w:t xml:space="preserve">  A continuous training log may be used for ongoing training, or a separate log for each set of training may be used.</w:t>
      </w:r>
      <w:r w:rsidR="00AB3A64">
        <w:t xml:space="preserve"> In addition, </w:t>
      </w:r>
      <w:r w:rsidR="00AB3A64">
        <w:lastRenderedPageBreak/>
        <w:t xml:space="preserve">appropriate study personnel should be trained </w:t>
      </w:r>
      <w:r w:rsidR="00A0129F">
        <w:t>after</w:t>
      </w:r>
      <w:r w:rsidR="00AB3A64">
        <w:t xml:space="preserve"> eac</w:t>
      </w:r>
      <w:r w:rsidR="00A0129F">
        <w:t>h protocol amendment</w:t>
      </w:r>
      <w:r w:rsidR="001540FF">
        <w:t>.</w:t>
      </w:r>
      <w:r w:rsidR="00EE5E64">
        <w:t xml:space="preserve"> All training logs, as well as appropriate certificates, documenting all study-related training needs to be maintained.</w:t>
      </w:r>
    </w:p>
    <w:p w:rsidR="003444FD" w:rsidRDefault="003444FD" w:rsidP="003444FD">
      <w:pPr>
        <w:spacing w:after="0" w:line="360" w:lineRule="auto"/>
        <w:contextualSpacing/>
        <w:rPr>
          <w:rFonts w:eastAsia="Times New Roman" w:cs="Calibri"/>
          <w:color w:val="000000"/>
        </w:rPr>
      </w:pPr>
    </w:p>
    <w:p w:rsidR="003444FD" w:rsidRPr="00CC08B2" w:rsidRDefault="003444FD" w:rsidP="00EE5E64">
      <w:pPr>
        <w:rPr>
          <w:b/>
          <w:sz w:val="24"/>
        </w:rPr>
      </w:pPr>
      <w:r w:rsidRPr="00545948">
        <w:rPr>
          <w:b/>
          <w:sz w:val="24"/>
        </w:rPr>
        <w:t>Screening and Enrollment Log</w:t>
      </w:r>
    </w:p>
    <w:p w:rsidR="003444FD" w:rsidRPr="00D07406" w:rsidRDefault="00CC08B2" w:rsidP="00D07406">
      <w:pPr>
        <w:ind w:left="720"/>
      </w:pPr>
      <w:r w:rsidRPr="00D07406">
        <w:t>A</w:t>
      </w:r>
      <w:r w:rsidR="00E721D0">
        <w:t xml:space="preserve">n ongoing list </w:t>
      </w:r>
      <w:r w:rsidR="00DD6EC2" w:rsidRPr="00D07406">
        <w:t>of all subjects screened and</w:t>
      </w:r>
      <w:r w:rsidR="003444FD" w:rsidRPr="00D07406">
        <w:t xml:space="preserve"> enrolled in the study</w:t>
      </w:r>
      <w:r w:rsidR="00DD6EC2" w:rsidRPr="00D07406">
        <w:t xml:space="preserve"> </w:t>
      </w:r>
      <w:r w:rsidR="00CD28E5" w:rsidRPr="00D07406">
        <w:t>must</w:t>
      </w:r>
      <w:r w:rsidR="00DD6EC2" w:rsidRPr="00D07406">
        <w:t xml:space="preserve"> be maintained </w:t>
      </w:r>
      <w:r w:rsidR="00CD28E5" w:rsidRPr="00D07406">
        <w:t>throughout the duration of the study</w:t>
      </w:r>
      <w:r w:rsidR="003444FD" w:rsidRPr="00D07406">
        <w:t>.</w:t>
      </w:r>
      <w:r w:rsidR="00B86695">
        <w:t xml:space="preserve"> Generally, t</w:t>
      </w:r>
      <w:r w:rsidR="00DD6EC2" w:rsidRPr="00D07406">
        <w:t xml:space="preserve">his </w:t>
      </w:r>
      <w:r w:rsidR="00B86695">
        <w:t>log</w:t>
      </w:r>
      <w:r w:rsidRPr="00D07406">
        <w:t xml:space="preserve"> </w:t>
      </w:r>
      <w:r w:rsidR="00B86695">
        <w:t>also documents the</w:t>
      </w:r>
      <w:r w:rsidR="004F6409">
        <w:t xml:space="preserve"> </w:t>
      </w:r>
      <w:r w:rsidR="00625AE8">
        <w:t>status</w:t>
      </w:r>
      <w:r w:rsidR="00E721D0">
        <w:t xml:space="preserve"> of each subject</w:t>
      </w:r>
      <w:r w:rsidR="002149B1" w:rsidRPr="00D07406">
        <w:t>.</w:t>
      </w:r>
    </w:p>
    <w:p w:rsidR="00A16D80" w:rsidRDefault="00A16D80"/>
    <w:p w:rsidR="00EE5E64" w:rsidRPr="00EE5E64" w:rsidRDefault="00EE5E64" w:rsidP="00EE5E64">
      <w:pPr>
        <w:rPr>
          <w:b/>
          <w:sz w:val="24"/>
        </w:rPr>
      </w:pPr>
      <w:r w:rsidRPr="00545948">
        <w:rPr>
          <w:b/>
          <w:sz w:val="24"/>
        </w:rPr>
        <w:t xml:space="preserve">Sample </w:t>
      </w:r>
      <w:r w:rsidR="00364618" w:rsidRPr="00545948">
        <w:rPr>
          <w:b/>
          <w:sz w:val="24"/>
        </w:rPr>
        <w:t>Case Report Forms (CRFs)</w:t>
      </w:r>
      <w:r w:rsidRPr="00545948">
        <w:rPr>
          <w:b/>
          <w:sz w:val="24"/>
        </w:rPr>
        <w:t xml:space="preserve"> and Signature Pages</w:t>
      </w:r>
    </w:p>
    <w:p w:rsidR="005A6043" w:rsidRPr="00545948" w:rsidRDefault="00D96E79" w:rsidP="00545948">
      <w:pPr>
        <w:ind w:left="720"/>
      </w:pPr>
      <w:r>
        <w:t>A s</w:t>
      </w:r>
      <w:r w:rsidR="00EE5E64" w:rsidRPr="008649C8">
        <w:t xml:space="preserve">ample </w:t>
      </w:r>
      <w:r>
        <w:t>of each Case Report Form</w:t>
      </w:r>
      <w:r w:rsidR="00D9773B">
        <w:t xml:space="preserve"> </w:t>
      </w:r>
      <w:r w:rsidR="003F45F2">
        <w:t xml:space="preserve">(CRF) </w:t>
      </w:r>
      <w:r w:rsidR="00D9773B">
        <w:t xml:space="preserve">should be </w:t>
      </w:r>
      <w:r w:rsidR="00BF7DF6">
        <w:t>maintained</w:t>
      </w:r>
      <w:r w:rsidR="00364618">
        <w:t xml:space="preserve">. CRFs should include signature pages </w:t>
      </w:r>
      <w:r>
        <w:t xml:space="preserve">to be </w:t>
      </w:r>
      <w:r w:rsidR="00364618">
        <w:t xml:space="preserve">signed by the PI, </w:t>
      </w:r>
      <w:r>
        <w:t>the sponsor (as applicable)</w:t>
      </w:r>
      <w:r w:rsidR="00364618">
        <w:t xml:space="preserve">, and the study person designated to complete CRFs. </w:t>
      </w:r>
      <w:r w:rsidR="005A6043">
        <w:t>For CRFs that are considered subject-facing, (i.e., questionnaires),</w:t>
      </w:r>
      <w:r w:rsidR="005A6043" w:rsidRPr="008649C8">
        <w:t xml:space="preserve"> </w:t>
      </w:r>
      <w:r w:rsidR="00EE5E64" w:rsidRPr="008649C8">
        <w:t xml:space="preserve"> they should be IRB approved and have IRB approval stamps.</w:t>
      </w:r>
      <w:r w:rsidR="005A6043">
        <w:t xml:space="preserve"> For additional information, please see “</w:t>
      </w:r>
      <w:r w:rsidR="005A6043" w:rsidRPr="003F45F2">
        <w:t>IRB Approved Subject and Recruitment Materials</w:t>
      </w:r>
      <w:r w:rsidR="005A6043">
        <w:t>”</w:t>
      </w:r>
      <w:r w:rsidR="005A6043" w:rsidRPr="003F45F2">
        <w:t xml:space="preserve"> below.</w:t>
      </w:r>
    </w:p>
    <w:p w:rsidR="00EE5E64" w:rsidRDefault="00EE5E64"/>
    <w:p w:rsidR="00EE5E64" w:rsidRPr="00EE5E64" w:rsidRDefault="00EE5E64" w:rsidP="00EE5E64">
      <w:pPr>
        <w:rPr>
          <w:b/>
          <w:sz w:val="24"/>
        </w:rPr>
      </w:pPr>
      <w:r w:rsidRPr="00545948">
        <w:rPr>
          <w:b/>
          <w:sz w:val="24"/>
        </w:rPr>
        <w:t>Sample Source Documents</w:t>
      </w:r>
    </w:p>
    <w:p w:rsidR="00EE5E64" w:rsidRPr="00545948" w:rsidRDefault="00FF1F2F" w:rsidP="00545948">
      <w:pPr>
        <w:ind w:left="720"/>
      </w:pPr>
      <w:r w:rsidRPr="00545948">
        <w:t>If possible, a collection of s</w:t>
      </w:r>
      <w:r w:rsidR="00EE5E64" w:rsidRPr="00545948">
        <w:t>ample source data collection documents</w:t>
      </w:r>
      <w:r w:rsidRPr="00545948">
        <w:t xml:space="preserve"> should be filed</w:t>
      </w:r>
      <w:r w:rsidR="00EE5E64" w:rsidRPr="00545948">
        <w:t>.</w:t>
      </w:r>
      <w:r w:rsidRPr="00545948">
        <w:t xml:space="preserve"> It is important that this collection is blank and there are no identifiers found in any of the documents.</w:t>
      </w:r>
    </w:p>
    <w:p w:rsidR="00EE5E64" w:rsidRDefault="00EE5E64"/>
    <w:p w:rsidR="00EE5E64" w:rsidRPr="00EE5E64" w:rsidRDefault="00EE5E64" w:rsidP="00EE5E64">
      <w:pPr>
        <w:rPr>
          <w:b/>
          <w:sz w:val="24"/>
        </w:rPr>
      </w:pPr>
      <w:r w:rsidRPr="00545948">
        <w:rPr>
          <w:b/>
          <w:sz w:val="24"/>
        </w:rPr>
        <w:t>Investigational Product Information - 1</w:t>
      </w:r>
    </w:p>
    <w:p w:rsidR="00060ABC" w:rsidRPr="00635CFC" w:rsidRDefault="008F1F42" w:rsidP="00635CFC">
      <w:pPr>
        <w:ind w:left="720"/>
      </w:pPr>
      <w:r w:rsidRPr="00F813C0">
        <w:rPr>
          <w:u w:val="single"/>
        </w:rPr>
        <w:t xml:space="preserve">This documentation is typically required for a study involving  </w:t>
      </w:r>
      <w:r w:rsidR="00C46C93" w:rsidRPr="00057DE7">
        <w:rPr>
          <w:u w:val="single"/>
        </w:rPr>
        <w:t>drugs, biologics, and devices</w:t>
      </w:r>
      <w:r w:rsidRPr="00F813C0">
        <w:rPr>
          <w:u w:val="single"/>
        </w:rPr>
        <w:t>.</w:t>
      </w:r>
      <w:r w:rsidRPr="00635CFC">
        <w:t> </w:t>
      </w:r>
      <w:r w:rsidR="00153E4E">
        <w:t xml:space="preserve">The most current version of the </w:t>
      </w:r>
      <w:r w:rsidR="00EE5E64" w:rsidRPr="008649C8">
        <w:t>Package Insert / Investigator's Brochure / Device Manual and</w:t>
      </w:r>
      <w:r w:rsidR="00153E4E">
        <w:t>,</w:t>
      </w:r>
      <w:r w:rsidR="00EE5E64" w:rsidRPr="008649C8">
        <w:t xml:space="preserve"> if applicable, certificate(s) of analysis and sample investigat</w:t>
      </w:r>
      <w:r w:rsidR="00060ABC">
        <w:t>ional product labels</w:t>
      </w:r>
      <w:r w:rsidR="00153E4E">
        <w:t xml:space="preserve"> should be maintained</w:t>
      </w:r>
      <w:r w:rsidR="00060ABC">
        <w:t>.</w:t>
      </w:r>
      <w:r w:rsidR="00153E4E">
        <w:t xml:space="preserve"> All previous versions </w:t>
      </w:r>
      <w:r w:rsidR="00C35C81">
        <w:t xml:space="preserve">do not need to be </w:t>
      </w:r>
      <w:r w:rsidR="00D41C74">
        <w:t xml:space="preserve">physically </w:t>
      </w:r>
      <w:r w:rsidR="00C35C81">
        <w:t xml:space="preserve">stored in the </w:t>
      </w:r>
      <w:r w:rsidR="00D316D7">
        <w:t>study files; however, each version must be readily available.</w:t>
      </w:r>
    </w:p>
    <w:p w:rsidR="00EE5E64" w:rsidRDefault="00EE5E64"/>
    <w:p w:rsidR="00EE5E64" w:rsidRPr="00EE5E64" w:rsidRDefault="00EE5E64" w:rsidP="00EE5E64">
      <w:pPr>
        <w:rPr>
          <w:b/>
          <w:sz w:val="24"/>
        </w:rPr>
      </w:pPr>
      <w:r w:rsidRPr="00545948">
        <w:rPr>
          <w:b/>
          <w:sz w:val="24"/>
        </w:rPr>
        <w:t>Investigational Product Information - 2</w:t>
      </w:r>
    </w:p>
    <w:p w:rsidR="00060ABC" w:rsidRPr="00F813C0" w:rsidRDefault="008F1F42" w:rsidP="00F813C0">
      <w:pPr>
        <w:ind w:left="720"/>
      </w:pPr>
      <w:r w:rsidRPr="00F813C0">
        <w:rPr>
          <w:u w:val="single"/>
        </w:rPr>
        <w:lastRenderedPageBreak/>
        <w:t xml:space="preserve">This documentation is typically required for a study involving  </w:t>
      </w:r>
      <w:r w:rsidR="00C46C93" w:rsidRPr="00057DE7">
        <w:rPr>
          <w:u w:val="single"/>
        </w:rPr>
        <w:t>drugs, biologics, and devices</w:t>
      </w:r>
      <w:r w:rsidRPr="00F813C0">
        <w:rPr>
          <w:u w:val="single"/>
        </w:rPr>
        <w:t>.</w:t>
      </w:r>
      <w:r w:rsidRPr="00F813C0">
        <w:t> </w:t>
      </w:r>
      <w:r w:rsidR="00BF5DC0" w:rsidRPr="00F813C0">
        <w:t>If not already in the Protocol or Investigator’s Brochure</w:t>
      </w:r>
      <w:r w:rsidR="00F813C0">
        <w:t>/Device Manual</w:t>
      </w:r>
      <w:r w:rsidR="00BF5DC0" w:rsidRPr="00F813C0">
        <w:t>, i</w:t>
      </w:r>
      <w:r w:rsidR="00EE5E64" w:rsidRPr="00F813C0">
        <w:t>nstructions for</w:t>
      </w:r>
      <w:r w:rsidR="00F813C0">
        <w:t xml:space="preserve"> the</w:t>
      </w:r>
      <w:r w:rsidR="00EE5E64" w:rsidRPr="00F813C0">
        <w:t xml:space="preserve"> storage and dispensing of investigational</w:t>
      </w:r>
      <w:r w:rsidR="00BF5DC0" w:rsidRPr="00F813C0">
        <w:t xml:space="preserve"> product and related materials </w:t>
      </w:r>
      <w:r w:rsidR="00F813C0">
        <w:t>must</w:t>
      </w:r>
      <w:r w:rsidR="00BF5DC0" w:rsidRPr="00F813C0">
        <w:t xml:space="preserve"> be </w:t>
      </w:r>
      <w:r w:rsidR="00BF7DF6">
        <w:t>maintained</w:t>
      </w:r>
      <w:r w:rsidR="00BF5DC0" w:rsidRPr="00F813C0">
        <w:t>.</w:t>
      </w:r>
    </w:p>
    <w:p w:rsidR="00EE5E64" w:rsidRDefault="00EE5E64"/>
    <w:p w:rsidR="00EE5E64" w:rsidRPr="00EE5E64" w:rsidRDefault="00EE5E64" w:rsidP="00EE5E64">
      <w:pPr>
        <w:rPr>
          <w:b/>
          <w:sz w:val="24"/>
        </w:rPr>
      </w:pPr>
      <w:r w:rsidRPr="00545948">
        <w:rPr>
          <w:b/>
          <w:sz w:val="24"/>
        </w:rPr>
        <w:t>Investigational Product Accountability</w:t>
      </w:r>
    </w:p>
    <w:p w:rsidR="00060ABC" w:rsidRPr="009D7334" w:rsidRDefault="008F1F42" w:rsidP="009D7334">
      <w:pPr>
        <w:ind w:left="720"/>
      </w:pPr>
      <w:r w:rsidRPr="009D7334">
        <w:rPr>
          <w:u w:val="single"/>
        </w:rPr>
        <w:t xml:space="preserve">This documentation is typically required for a study involving  </w:t>
      </w:r>
      <w:r w:rsidR="00C46C93" w:rsidRPr="00057DE7">
        <w:rPr>
          <w:u w:val="single"/>
        </w:rPr>
        <w:t>drugs, biologics, and devices</w:t>
      </w:r>
      <w:r w:rsidRPr="009D7334">
        <w:rPr>
          <w:u w:val="single"/>
        </w:rPr>
        <w:t>.</w:t>
      </w:r>
      <w:r w:rsidRPr="009D7334">
        <w:t> </w:t>
      </w:r>
      <w:r w:rsidR="00EE5E64" w:rsidRPr="008649C8">
        <w:t xml:space="preserve">At the </w:t>
      </w:r>
      <w:r w:rsidR="00F813C0">
        <w:t>site</w:t>
      </w:r>
      <w:r w:rsidR="00EE5E64" w:rsidRPr="008649C8">
        <w:t xml:space="preserve"> level, documentation of receipt, storage, shipping, return</w:t>
      </w:r>
      <w:r w:rsidR="00F813C0">
        <w:t>,</w:t>
      </w:r>
      <w:r w:rsidR="00EE5E64" w:rsidRPr="008649C8">
        <w:t xml:space="preserve"> and destruction of the investigational product </w:t>
      </w:r>
      <w:r w:rsidR="00281E20">
        <w:t xml:space="preserve">(IP) </w:t>
      </w:r>
      <w:r w:rsidR="00EE5E64" w:rsidRPr="008649C8">
        <w:t>and related materials (e.g.</w:t>
      </w:r>
      <w:r w:rsidR="00F813C0">
        <w:t>,</w:t>
      </w:r>
      <w:r w:rsidR="00EE5E64" w:rsidRPr="008649C8">
        <w:t xml:space="preserve"> clinical supplies log)</w:t>
      </w:r>
      <w:r w:rsidR="00F813C0">
        <w:t xml:space="preserve"> must be maintained</w:t>
      </w:r>
      <w:r w:rsidR="00E84BCF">
        <w:t xml:space="preserve">. The easiest way to do this is with an ongoing log. On a subject level, documentation of </w:t>
      </w:r>
      <w:r w:rsidR="00281E20">
        <w:t xml:space="preserve">IP that is </w:t>
      </w:r>
      <w:r w:rsidR="00E84BCF">
        <w:t>dispense</w:t>
      </w:r>
      <w:r w:rsidR="00281E20">
        <w:t>d</w:t>
      </w:r>
      <w:r w:rsidR="00E84BCF">
        <w:t xml:space="preserve"> and return</w:t>
      </w:r>
      <w:r w:rsidR="00281E20">
        <w:t>ed must be maintained on a subject-specific log. All of the above logs must show sign-off</w:t>
      </w:r>
      <w:r w:rsidR="007C17D5">
        <w:t xml:space="preserve"> by the PI, or designated individual.</w:t>
      </w:r>
    </w:p>
    <w:p w:rsidR="00EE5E64" w:rsidRDefault="00EE5E64"/>
    <w:p w:rsidR="00EE5E64" w:rsidRPr="00EE5E64" w:rsidRDefault="00EE5E64" w:rsidP="00EE5E64">
      <w:pPr>
        <w:rPr>
          <w:b/>
          <w:sz w:val="24"/>
        </w:rPr>
      </w:pPr>
      <w:r w:rsidRPr="00545948">
        <w:rPr>
          <w:b/>
          <w:sz w:val="24"/>
        </w:rPr>
        <w:t>Unblinding Procedure</w:t>
      </w:r>
    </w:p>
    <w:p w:rsidR="00EE5E64" w:rsidRPr="00885811" w:rsidRDefault="00EE5E64" w:rsidP="00885811">
      <w:pPr>
        <w:ind w:left="720"/>
      </w:pPr>
      <w:r w:rsidRPr="00885811">
        <w:rPr>
          <w:u w:val="single"/>
        </w:rPr>
        <w:t>For blinded studies, the procedure for unblinding a</w:t>
      </w:r>
      <w:r w:rsidR="003101E0" w:rsidRPr="00885811">
        <w:rPr>
          <w:u w:val="single"/>
        </w:rPr>
        <w:t xml:space="preserve"> subject, if not</w:t>
      </w:r>
      <w:r w:rsidR="009D7334" w:rsidRPr="00885811">
        <w:rPr>
          <w:u w:val="single"/>
        </w:rPr>
        <w:t xml:space="preserve"> already stated</w:t>
      </w:r>
      <w:r w:rsidR="003101E0" w:rsidRPr="00885811">
        <w:rPr>
          <w:u w:val="single"/>
        </w:rPr>
        <w:t xml:space="preserve"> in the protocol, must be </w:t>
      </w:r>
      <w:r w:rsidR="00BF7DF6">
        <w:rPr>
          <w:u w:val="single"/>
        </w:rPr>
        <w:t>maintained</w:t>
      </w:r>
      <w:r w:rsidR="00464135" w:rsidRPr="00885811">
        <w:t>.</w:t>
      </w:r>
      <w:r w:rsidR="009D7334" w:rsidRPr="00885811">
        <w:t xml:space="preserve"> The procedure should include the steps taken in the case of an emergency unblinding.</w:t>
      </w:r>
    </w:p>
    <w:p w:rsidR="00EE5E64" w:rsidRDefault="00EE5E64"/>
    <w:p w:rsidR="00F276BF" w:rsidRPr="004C0C1B" w:rsidRDefault="00735D25">
      <w:pPr>
        <w:rPr>
          <w:b/>
          <w:sz w:val="24"/>
        </w:rPr>
      </w:pPr>
      <w:r w:rsidRPr="00545948">
        <w:rPr>
          <w:b/>
          <w:sz w:val="24"/>
        </w:rPr>
        <w:t>Unanticipated Problems (</w:t>
      </w:r>
      <w:r w:rsidR="002E4E2D" w:rsidRPr="00545948">
        <w:rPr>
          <w:b/>
          <w:sz w:val="24"/>
        </w:rPr>
        <w:t>UAP</w:t>
      </w:r>
      <w:r w:rsidRPr="00545948">
        <w:rPr>
          <w:b/>
          <w:sz w:val="24"/>
        </w:rPr>
        <w:t>)</w:t>
      </w:r>
      <w:r w:rsidR="002E4E2D" w:rsidRPr="00545948">
        <w:rPr>
          <w:b/>
          <w:sz w:val="24"/>
        </w:rPr>
        <w:t xml:space="preserve"> Log</w:t>
      </w:r>
    </w:p>
    <w:p w:rsidR="00735D25" w:rsidRDefault="00735D25" w:rsidP="008649C8">
      <w:pPr>
        <w:ind w:left="720"/>
      </w:pPr>
      <w:r>
        <w:t>Also known as the De</w:t>
      </w:r>
      <w:r w:rsidR="00774140">
        <w:t xml:space="preserve">viation Log, the UAP Log </w:t>
      </w:r>
      <w:r w:rsidR="003E3FEC">
        <w:t>is used to maintain</w:t>
      </w:r>
      <w:r w:rsidR="009F0F9D">
        <w:t>, in one location,</w:t>
      </w:r>
      <w:r w:rsidR="003E3FEC">
        <w:t xml:space="preserve"> a record of all protocol deviations and violations that occu</w:t>
      </w:r>
      <w:r w:rsidR="00BA309E">
        <w:t>rred in the study</w:t>
      </w:r>
      <w:r w:rsidR="003E3FEC">
        <w:t>.</w:t>
      </w:r>
      <w:r w:rsidR="00774140">
        <w:t xml:space="preserve"> </w:t>
      </w:r>
      <w:r w:rsidR="00BA309E">
        <w:t xml:space="preserve">All unanticipated occurrences </w:t>
      </w:r>
      <w:r w:rsidR="009F0F9D">
        <w:t>should be documented on the log</w:t>
      </w:r>
      <w:r w:rsidR="00A056C5">
        <w:t xml:space="preserve"> regardless of whether the occurrence is reportable</w:t>
      </w:r>
      <w:r w:rsidR="00E61B31">
        <w:t xml:space="preserve"> to the IRB</w:t>
      </w:r>
      <w:r w:rsidR="009F0F9D">
        <w:t>;</w:t>
      </w:r>
      <w:r w:rsidR="00BA309E">
        <w:t xml:space="preserve"> </w:t>
      </w:r>
      <w:r w:rsidR="00A056C5">
        <w:t xml:space="preserve">the guidelines for what is considered reportable </w:t>
      </w:r>
      <w:r w:rsidR="00BA309E">
        <w:t>is up to the</w:t>
      </w:r>
      <w:r w:rsidR="00E61B31">
        <w:t xml:space="preserve"> study’s</w:t>
      </w:r>
      <w:r w:rsidR="00BA309E">
        <w:t xml:space="preserve"> IRB</w:t>
      </w:r>
      <w:r w:rsidR="00E61B31">
        <w:t xml:space="preserve"> of record</w:t>
      </w:r>
      <w:r w:rsidR="00BA309E">
        <w:t>. The guidelines</w:t>
      </w:r>
      <w:r w:rsidR="00E61B31">
        <w:t xml:space="preserve"> and timeframes</w:t>
      </w:r>
      <w:r w:rsidR="00BA309E">
        <w:t xml:space="preserve"> for Jefferson IRB can be found in OHR Policy </w:t>
      </w:r>
      <w:r w:rsidR="00BA309E" w:rsidRPr="00707BE7">
        <w:t xml:space="preserve">GA </w:t>
      </w:r>
      <w:r w:rsidR="00707BE7">
        <w:t>120</w:t>
      </w:r>
      <w:r w:rsidR="00BA309E">
        <w:t>. Reportable occurrences get submitted to Jefferson IRB via the eazUP system on the OHR home page.</w:t>
      </w:r>
      <w:r w:rsidR="008B04F3">
        <w:t xml:space="preserve"> </w:t>
      </w:r>
      <w:r w:rsidR="00597440">
        <w:t xml:space="preserve">As appropriate, UAPs must be submitted to the FDA and Sponsor/CRO as well. </w:t>
      </w:r>
      <w:r w:rsidR="00EF7B35">
        <w:t xml:space="preserve">IRB and Sponsor approval/acknowledgement of the UAP should also be </w:t>
      </w:r>
      <w:r w:rsidR="00BF7DF6">
        <w:t>maintained</w:t>
      </w:r>
      <w:r w:rsidR="008B04F3">
        <w:t>.</w:t>
      </w:r>
      <w:r w:rsidR="00707BE7">
        <w:t xml:space="preserve"> If there are no UAPs in the study, a blank template should still be readily available in the study files to show that deviations and violations are continually monitored and maintained.</w:t>
      </w:r>
    </w:p>
    <w:p w:rsidR="002E4E2D" w:rsidRDefault="002E4E2D"/>
    <w:p w:rsidR="002E4E2D" w:rsidRPr="004C0C1B" w:rsidRDefault="00BA309E">
      <w:pPr>
        <w:rPr>
          <w:b/>
          <w:sz w:val="24"/>
        </w:rPr>
      </w:pPr>
      <w:r w:rsidRPr="00545948">
        <w:rPr>
          <w:b/>
          <w:sz w:val="24"/>
        </w:rPr>
        <w:t>Adverse Events (AE)</w:t>
      </w:r>
      <w:r w:rsidR="002E4E2D" w:rsidRPr="00545948">
        <w:rPr>
          <w:b/>
          <w:sz w:val="24"/>
        </w:rPr>
        <w:t xml:space="preserve"> Log</w:t>
      </w:r>
    </w:p>
    <w:p w:rsidR="00BA309E" w:rsidRDefault="00BA309E" w:rsidP="008649C8">
      <w:pPr>
        <w:ind w:left="720"/>
      </w:pPr>
      <w:r>
        <w:lastRenderedPageBreak/>
        <w:t>The AE Log is used to maintain</w:t>
      </w:r>
      <w:r w:rsidR="00FB5713">
        <w:t>, in one location, a record</w:t>
      </w:r>
      <w:r>
        <w:t xml:space="preserve"> of all adverse events that occurred to subjects in the study. Commonly, a separate AE log </w:t>
      </w:r>
      <w:r w:rsidR="00F01E79">
        <w:t>can be</w:t>
      </w:r>
      <w:r>
        <w:t xml:space="preserve"> </w:t>
      </w:r>
      <w:r w:rsidR="00FB5713">
        <w:t>used</w:t>
      </w:r>
      <w:r>
        <w:t xml:space="preserve"> </w:t>
      </w:r>
      <w:r w:rsidR="00F01E79">
        <w:t>for each</w:t>
      </w:r>
      <w:r>
        <w:t xml:space="preserve"> subject. </w:t>
      </w:r>
      <w:r w:rsidR="00781339">
        <w:t>All adverse events should be documented on the log</w:t>
      </w:r>
      <w:r w:rsidR="00FB5713">
        <w:t xml:space="preserve"> regardless of whether the AE is reportable to the IRB</w:t>
      </w:r>
      <w:r w:rsidR="00781339">
        <w:t xml:space="preserve">; </w:t>
      </w:r>
      <w:r w:rsidR="00FB5713">
        <w:t>the guidelines for what is considered reportable is</w:t>
      </w:r>
      <w:r w:rsidR="00781339">
        <w:t xml:space="preserve"> up to the </w:t>
      </w:r>
      <w:r w:rsidR="00FB5713">
        <w:t>study’s IRB</w:t>
      </w:r>
      <w:r w:rsidR="00781339">
        <w:t xml:space="preserve"> </w:t>
      </w:r>
      <w:r w:rsidR="00FB5713">
        <w:t>of record</w:t>
      </w:r>
      <w:r w:rsidR="00781339">
        <w:t xml:space="preserve">. The guidelines </w:t>
      </w:r>
      <w:r w:rsidR="00FB5713">
        <w:t xml:space="preserve">and timeframes </w:t>
      </w:r>
      <w:r w:rsidR="00781339">
        <w:t xml:space="preserve">for Jefferson IRB can be found in OHR Policy </w:t>
      </w:r>
      <w:r w:rsidR="00781339" w:rsidRPr="00707BE7">
        <w:t xml:space="preserve">GA </w:t>
      </w:r>
      <w:r w:rsidR="00707BE7">
        <w:t>120</w:t>
      </w:r>
      <w:r w:rsidR="00781339">
        <w:t>. Reportable serious adverse events get submitted to Jefferson IRB via the eSAEy system on the OHR home page.</w:t>
      </w:r>
      <w:r w:rsidR="008B04F3" w:rsidRPr="008B04F3">
        <w:t xml:space="preserve"> </w:t>
      </w:r>
      <w:r w:rsidR="00597440">
        <w:t>As appropriate, AEs must be submitted to the FDA and Sponsor/CRO as well</w:t>
      </w:r>
      <w:r w:rsidR="008B04F3">
        <w:t>.</w:t>
      </w:r>
      <w:r w:rsidR="00707BE7">
        <w:t xml:space="preserve"> If there are no AEs in the study, a blank template should still be readily available to show that adverse events are continually monitored and maintained.</w:t>
      </w:r>
    </w:p>
    <w:p w:rsidR="00EE5E64" w:rsidRDefault="00EE5E64" w:rsidP="00EE5E64">
      <w:pPr>
        <w:rPr>
          <w:b/>
          <w:sz w:val="24"/>
        </w:rPr>
      </w:pPr>
    </w:p>
    <w:p w:rsidR="00597440" w:rsidRPr="00597440" w:rsidRDefault="00597440" w:rsidP="00597440">
      <w:pPr>
        <w:rPr>
          <w:b/>
          <w:sz w:val="24"/>
        </w:rPr>
      </w:pPr>
      <w:r w:rsidRPr="009B1510">
        <w:rPr>
          <w:b/>
          <w:sz w:val="24"/>
        </w:rPr>
        <w:t>IND Safety Reports</w:t>
      </w:r>
    </w:p>
    <w:p w:rsidR="008F1F42" w:rsidRPr="00BE4A8E" w:rsidRDefault="008F1F42" w:rsidP="00BE4A8E">
      <w:pPr>
        <w:ind w:left="720"/>
      </w:pPr>
      <w:r w:rsidRPr="003D6AD3">
        <w:rPr>
          <w:u w:val="single"/>
        </w:rPr>
        <w:t>This documentation is typically</w:t>
      </w:r>
      <w:r w:rsidR="00BE4A8E" w:rsidRPr="003D6AD3">
        <w:rPr>
          <w:u w:val="single"/>
        </w:rPr>
        <w:t xml:space="preserve"> required for a study involving</w:t>
      </w:r>
      <w:r w:rsidRPr="003D6AD3">
        <w:rPr>
          <w:u w:val="single"/>
        </w:rPr>
        <w:t xml:space="preserve"> </w:t>
      </w:r>
      <w:r w:rsidR="00BE4A8E" w:rsidRPr="003D6AD3">
        <w:rPr>
          <w:u w:val="single"/>
        </w:rPr>
        <w:t>a drug</w:t>
      </w:r>
      <w:r w:rsidRPr="00BE4A8E">
        <w:t>. </w:t>
      </w:r>
      <w:r w:rsidR="000968AC" w:rsidRPr="00BE4A8E">
        <w:t>Sponsor</w:t>
      </w:r>
      <w:r w:rsidR="004455AD" w:rsidRPr="00BE4A8E">
        <w:t xml:space="preserve">s </w:t>
      </w:r>
      <w:r w:rsidR="005E7992" w:rsidRPr="00BE4A8E">
        <w:t>release</w:t>
      </w:r>
      <w:r w:rsidR="000968AC" w:rsidRPr="00BE4A8E">
        <w:t xml:space="preserve"> IND Safety Reports </w:t>
      </w:r>
      <w:r w:rsidR="004455AD" w:rsidRPr="00BE4A8E">
        <w:t>that consist</w:t>
      </w:r>
      <w:r w:rsidR="000968AC" w:rsidRPr="00BE4A8E">
        <w:t xml:space="preserve"> of </w:t>
      </w:r>
      <w:r w:rsidR="004455AD" w:rsidRPr="00BE4A8E">
        <w:t xml:space="preserve">pertinent </w:t>
      </w:r>
      <w:r w:rsidR="000968AC" w:rsidRPr="00BE4A8E">
        <w:t xml:space="preserve">safety information </w:t>
      </w:r>
      <w:r w:rsidR="004455AD" w:rsidRPr="00BE4A8E">
        <w:t xml:space="preserve">on a specific test article </w:t>
      </w:r>
      <w:r w:rsidR="005E7992" w:rsidRPr="00BE4A8E">
        <w:t>relevant to the protocol for</w:t>
      </w:r>
      <w:r w:rsidR="004455AD" w:rsidRPr="00BE4A8E">
        <w:t xml:space="preserve"> all study sites.</w:t>
      </w:r>
      <w:r w:rsidR="005E7992" w:rsidRPr="00BE4A8E">
        <w:t xml:space="preserve"> Sponsors commonly require PI sign off</w:t>
      </w:r>
      <w:r w:rsidR="00BE4A8E" w:rsidRPr="00BE4A8E">
        <w:t xml:space="preserve"> on each report. Each IND Safety Report</w:t>
      </w:r>
      <w:r w:rsidR="003D6AD3">
        <w:t xml:space="preserve"> and</w:t>
      </w:r>
      <w:r w:rsidR="00BE4A8E" w:rsidRPr="00BE4A8E">
        <w:t xml:space="preserve">, </w:t>
      </w:r>
      <w:r w:rsidR="00BE4A8E">
        <w:t>when necessary,</w:t>
      </w:r>
      <w:r w:rsidR="00BE4A8E" w:rsidRPr="00BE4A8E">
        <w:t xml:space="preserve"> documentation that the information has been received by the IRB, should be maintained.</w:t>
      </w:r>
    </w:p>
    <w:p w:rsidR="00597440" w:rsidRDefault="00597440" w:rsidP="00EE5E64">
      <w:pPr>
        <w:rPr>
          <w:b/>
          <w:sz w:val="24"/>
        </w:rPr>
      </w:pPr>
    </w:p>
    <w:p w:rsidR="00597440" w:rsidRPr="00597440" w:rsidRDefault="00597440" w:rsidP="00597440">
      <w:pPr>
        <w:rPr>
          <w:b/>
          <w:sz w:val="24"/>
        </w:rPr>
      </w:pPr>
      <w:r w:rsidRPr="00545948">
        <w:rPr>
          <w:b/>
          <w:sz w:val="24"/>
        </w:rPr>
        <w:t>Additional Safety Information</w:t>
      </w:r>
    </w:p>
    <w:p w:rsidR="00060ABC" w:rsidRPr="003D6AD3" w:rsidRDefault="008F1F42" w:rsidP="003D6AD3">
      <w:pPr>
        <w:ind w:left="720"/>
      </w:pPr>
      <w:r w:rsidRPr="003D6AD3">
        <w:t xml:space="preserve">This documentation is typically required for a study involving  </w:t>
      </w:r>
      <w:r w:rsidR="00BF7DF6">
        <w:t>drugs, biologics, and devices</w:t>
      </w:r>
      <w:r w:rsidRPr="003D6AD3">
        <w:t>. </w:t>
      </w:r>
      <w:r w:rsidR="003D6AD3" w:rsidRPr="003D6AD3">
        <w:t>Any a</w:t>
      </w:r>
      <w:r w:rsidR="00597440" w:rsidRPr="003D6AD3">
        <w:t>dditional risk information including changes to the risk profile of the investigational product</w:t>
      </w:r>
      <w:r w:rsidR="003D6AD3" w:rsidRPr="003D6AD3">
        <w:t>, must be maintained</w:t>
      </w:r>
      <w:r w:rsidR="00597440" w:rsidRPr="003D6AD3">
        <w:t>.</w:t>
      </w:r>
    </w:p>
    <w:p w:rsidR="00597440" w:rsidRDefault="00597440" w:rsidP="00EE5E64">
      <w:pPr>
        <w:rPr>
          <w:b/>
          <w:sz w:val="24"/>
        </w:rPr>
      </w:pPr>
    </w:p>
    <w:p w:rsidR="00EE5E64" w:rsidRPr="00EE5E64" w:rsidRDefault="00EE5E64" w:rsidP="00EE5E64">
      <w:pPr>
        <w:rPr>
          <w:b/>
          <w:sz w:val="24"/>
        </w:rPr>
      </w:pPr>
      <w:r w:rsidRPr="00545948">
        <w:rPr>
          <w:b/>
          <w:sz w:val="24"/>
        </w:rPr>
        <w:t>Financial Agreements</w:t>
      </w:r>
    </w:p>
    <w:p w:rsidR="00EE5E64" w:rsidRPr="001420C1" w:rsidRDefault="003D6AD3" w:rsidP="001420C1">
      <w:pPr>
        <w:ind w:left="720"/>
      </w:pPr>
      <w:r w:rsidRPr="001420C1">
        <w:t>A copy of the f</w:t>
      </w:r>
      <w:r w:rsidR="00EE5E64" w:rsidRPr="001420C1">
        <w:t>inancial agreements with the sponsor, Medicare Coverage Analysis</w:t>
      </w:r>
      <w:r w:rsidRPr="001420C1">
        <w:t xml:space="preserve"> (MCA),</w:t>
      </w:r>
      <w:r w:rsidR="00EE5E64" w:rsidRPr="001420C1">
        <w:t xml:space="preserve"> and other financial agreements</w:t>
      </w:r>
      <w:r w:rsidRPr="001420C1">
        <w:t xml:space="preserve"> should be </w:t>
      </w:r>
      <w:r w:rsidR="00BF7DF6">
        <w:t>maintained</w:t>
      </w:r>
      <w:r w:rsidR="00A95F30">
        <w:t xml:space="preserve"> or readily available</w:t>
      </w:r>
    </w:p>
    <w:p w:rsidR="00600731" w:rsidRDefault="00600731"/>
    <w:p w:rsidR="00EE5E64" w:rsidRPr="00EE5E64" w:rsidRDefault="00464135" w:rsidP="00EE5E64">
      <w:pPr>
        <w:rPr>
          <w:b/>
          <w:sz w:val="24"/>
        </w:rPr>
      </w:pPr>
      <w:r w:rsidRPr="00545948">
        <w:rPr>
          <w:b/>
          <w:sz w:val="24"/>
        </w:rPr>
        <w:t>Financial Disclosure Forms (FDFs)/Conflicts of Interest (COI)</w:t>
      </w:r>
    </w:p>
    <w:p w:rsidR="00EE5E64" w:rsidRPr="00C04270" w:rsidRDefault="00464135" w:rsidP="00C04270">
      <w:pPr>
        <w:ind w:left="720"/>
      </w:pPr>
      <w:r w:rsidRPr="00C04270">
        <w:t>A copy of the disclosure by the I</w:t>
      </w:r>
      <w:r w:rsidR="00EE5E64" w:rsidRPr="00C04270">
        <w:t>nvestigators of any financial interest or arrangement with the sponsor</w:t>
      </w:r>
      <w:r w:rsidRPr="00C04270">
        <w:t>,</w:t>
      </w:r>
      <w:r w:rsidR="00EE5E64" w:rsidRPr="00C04270">
        <w:t xml:space="preserve"> or related to</w:t>
      </w:r>
      <w:r w:rsidRPr="00C04270">
        <w:t xml:space="preserve"> the investigational product(s), should be </w:t>
      </w:r>
      <w:r w:rsidR="00BF7DF6">
        <w:t>maintained</w:t>
      </w:r>
      <w:r w:rsidRPr="00C04270">
        <w:t xml:space="preserve">. </w:t>
      </w:r>
      <w:r w:rsidR="001420C1" w:rsidRPr="00C04270">
        <w:t>For sponsored studies, the sponsor</w:t>
      </w:r>
      <w:r w:rsidRPr="00C04270">
        <w:t xml:space="preserve"> typically provide the templates for Investigators to complete</w:t>
      </w:r>
      <w:r w:rsidR="001420C1" w:rsidRPr="00C04270">
        <w:t xml:space="preserve"> and sign. All </w:t>
      </w:r>
      <w:r w:rsidR="004C305F" w:rsidRPr="00C04270">
        <w:t>Investigators and study personnel</w:t>
      </w:r>
      <w:r w:rsidR="001420C1" w:rsidRPr="00C04270">
        <w:t xml:space="preserve">, regardless of </w:t>
      </w:r>
      <w:r w:rsidR="004C305F" w:rsidRPr="00C04270">
        <w:t xml:space="preserve">study funding, </w:t>
      </w:r>
      <w:r w:rsidR="00B94778" w:rsidRPr="00C04270">
        <w:t>must complete a COI disclosure via COI Smart system in order to remain compliant within Jefferson. Failure to complete an annual disclosure can lead to study start-up delay and even study termination.</w:t>
      </w:r>
    </w:p>
    <w:p w:rsidR="00EE5E64" w:rsidRDefault="00EE5E64"/>
    <w:p w:rsidR="00EE5E64" w:rsidRPr="00EE5E64" w:rsidRDefault="00EE5E64" w:rsidP="00EE5E64">
      <w:pPr>
        <w:rPr>
          <w:b/>
          <w:sz w:val="24"/>
        </w:rPr>
      </w:pPr>
      <w:r w:rsidRPr="00545948">
        <w:rPr>
          <w:b/>
          <w:sz w:val="24"/>
        </w:rPr>
        <w:t>Insurance Statement</w:t>
      </w:r>
      <w:r w:rsidRPr="00EE5E64">
        <w:rPr>
          <w:b/>
          <w:sz w:val="24"/>
        </w:rPr>
        <w:t xml:space="preserve"> </w:t>
      </w:r>
    </w:p>
    <w:p w:rsidR="00EE5E64" w:rsidRPr="006E03BE" w:rsidRDefault="00EE5E64" w:rsidP="006E03BE">
      <w:pPr>
        <w:ind w:left="720"/>
      </w:pPr>
      <w:r w:rsidRPr="006E03BE">
        <w:t xml:space="preserve">Documentation of </w:t>
      </w:r>
      <w:r w:rsidR="00BF7DF6" w:rsidRPr="006E03BE">
        <w:t>coverage for a research related injury to subjects</w:t>
      </w:r>
      <w:r w:rsidR="00A95F30" w:rsidRPr="006E03BE">
        <w:t xml:space="preserve"> should be readily available</w:t>
      </w:r>
      <w:r w:rsidR="00BF7DF6" w:rsidRPr="006E03BE">
        <w:t xml:space="preserve">. </w:t>
      </w:r>
      <w:r w:rsidR="00A95F30" w:rsidRPr="006E03BE">
        <w:t>In addition, this needs to be clearly stated in the consent form and approved by the budget/contracts team and the IRB.</w:t>
      </w:r>
    </w:p>
    <w:p w:rsidR="00EE5E64" w:rsidRDefault="00EE5E64"/>
    <w:p w:rsidR="00EE5E64" w:rsidRPr="00EE5E64" w:rsidRDefault="00EE5E64" w:rsidP="00EE5E64">
      <w:pPr>
        <w:rPr>
          <w:b/>
          <w:sz w:val="24"/>
        </w:rPr>
      </w:pPr>
      <w:r w:rsidRPr="00545948">
        <w:rPr>
          <w:b/>
          <w:sz w:val="24"/>
        </w:rPr>
        <w:t>IRB Approval Letters and Submission Forms</w:t>
      </w:r>
    </w:p>
    <w:p w:rsidR="00EE5E64" w:rsidRPr="008649C8" w:rsidRDefault="00EE5E64" w:rsidP="008649C8">
      <w:pPr>
        <w:ind w:left="720"/>
      </w:pPr>
      <w:r w:rsidRPr="008649C8">
        <w:t>IRB approval letters and all IRB forms for each initial submission, amendment, continuing review, final report, etc</w:t>
      </w:r>
      <w:r w:rsidR="005030D7">
        <w:t xml:space="preserve">. should be </w:t>
      </w:r>
      <w:r w:rsidR="00BF7DF6">
        <w:t>maintained</w:t>
      </w:r>
      <w:r w:rsidRPr="008649C8">
        <w:t>.  These should include the signed forms submitted to the IRB and, as applicable, the approved/signed forms returned by the IRB (e.g.</w:t>
      </w:r>
      <w:r w:rsidR="005030D7">
        <w:t>,</w:t>
      </w:r>
      <w:r w:rsidRPr="008649C8">
        <w:t xml:space="preserve"> OHR-12B</w:t>
      </w:r>
      <w:r w:rsidR="005030D7">
        <w:t>, OHR-31</w:t>
      </w:r>
      <w:r w:rsidRPr="008649C8">
        <w:t>).  Keep all the documen</w:t>
      </w:r>
      <w:r w:rsidR="00095CC0">
        <w:t xml:space="preserve">ts for each submission together. These documents may be saved on the department shared drive; however, they </w:t>
      </w:r>
      <w:r w:rsidR="00CA6C73">
        <w:t>must be kept in an organized and clear manner.</w:t>
      </w:r>
    </w:p>
    <w:p w:rsidR="00EE5E64" w:rsidRDefault="00EE5E64"/>
    <w:p w:rsidR="00EE5E64" w:rsidRPr="00EE5E64" w:rsidRDefault="00EE5E64" w:rsidP="00EE5E64">
      <w:pPr>
        <w:rPr>
          <w:b/>
          <w:sz w:val="24"/>
        </w:rPr>
      </w:pPr>
      <w:r w:rsidRPr="00545948">
        <w:rPr>
          <w:b/>
          <w:sz w:val="24"/>
        </w:rPr>
        <w:t>IRB Approved Consent Forms</w:t>
      </w:r>
    </w:p>
    <w:p w:rsidR="00EE5E64" w:rsidRPr="006E03BE" w:rsidRDefault="00EE5E64" w:rsidP="006E03BE">
      <w:pPr>
        <w:ind w:left="720"/>
      </w:pPr>
      <w:r w:rsidRPr="006E03BE">
        <w:t>IRB approved consent forms with the IRB approval stamps</w:t>
      </w:r>
      <w:r w:rsidR="009A493C" w:rsidRPr="006E03BE">
        <w:t xml:space="preserve"> must be maintained</w:t>
      </w:r>
      <w:r w:rsidR="00586819" w:rsidRPr="006E03BE">
        <w:t xml:space="preserve">. They should be </w:t>
      </w:r>
      <w:r w:rsidR="009A493C" w:rsidRPr="006E03BE">
        <w:t>filed in an organized manner</w:t>
      </w:r>
      <w:r w:rsidR="00586819" w:rsidRPr="006E03BE">
        <w:t xml:space="preserve"> in order to easily determine which document is the most current approved version(s)</w:t>
      </w:r>
      <w:r w:rsidR="00D12693" w:rsidRPr="006E03BE">
        <w:t>.</w:t>
      </w:r>
    </w:p>
    <w:p w:rsidR="00EE5E64" w:rsidRDefault="00EE5E64" w:rsidP="00EE5E64">
      <w:pPr>
        <w:rPr>
          <w:rFonts w:eastAsia="Times New Roman" w:cs="Calibri"/>
          <w:color w:val="000000"/>
        </w:rPr>
      </w:pPr>
    </w:p>
    <w:p w:rsidR="00EE5E64" w:rsidRPr="00EE5E64" w:rsidRDefault="00EE5E64" w:rsidP="00EE5E64">
      <w:pPr>
        <w:rPr>
          <w:b/>
          <w:sz w:val="24"/>
        </w:rPr>
      </w:pPr>
      <w:r w:rsidRPr="00545948">
        <w:rPr>
          <w:b/>
          <w:sz w:val="24"/>
        </w:rPr>
        <w:t>IRB Approved Subject</w:t>
      </w:r>
      <w:r w:rsidR="00B700DB" w:rsidRPr="00545948">
        <w:rPr>
          <w:b/>
          <w:sz w:val="24"/>
        </w:rPr>
        <w:t xml:space="preserve"> and Recruitment</w:t>
      </w:r>
      <w:r w:rsidRPr="00545948">
        <w:rPr>
          <w:b/>
          <w:sz w:val="24"/>
        </w:rPr>
        <w:t xml:space="preserve"> Materials</w:t>
      </w:r>
    </w:p>
    <w:p w:rsidR="00EE5E64" w:rsidRPr="006E03BE" w:rsidRDefault="00EE5E64" w:rsidP="006E03BE">
      <w:pPr>
        <w:ind w:left="720"/>
      </w:pPr>
      <w:r w:rsidRPr="006E03BE">
        <w:t>Subject</w:t>
      </w:r>
      <w:r w:rsidR="003543A0" w:rsidRPr="006E03BE">
        <w:t xml:space="preserve">-facing </w:t>
      </w:r>
      <w:r w:rsidRPr="006E03BE">
        <w:t>materia</w:t>
      </w:r>
      <w:r w:rsidR="00B700DB" w:rsidRPr="006E03BE">
        <w:t>ls</w:t>
      </w:r>
      <w:r w:rsidR="005A6043">
        <w:t>, such as questionnaires and surveys,</w:t>
      </w:r>
      <w:r w:rsidR="00B700DB" w:rsidRPr="006E03BE">
        <w:t xml:space="preserve"> with the IRB approval stamps must be </w:t>
      </w:r>
      <w:r w:rsidR="00BF7DF6" w:rsidRPr="006E03BE">
        <w:t>maintained</w:t>
      </w:r>
      <w:r w:rsidR="00B700DB" w:rsidRPr="006E03BE">
        <w:t>. In addition, advertisements and other subject recruitment materials showing IRB approval stamps should be maintained in the same section.</w:t>
      </w:r>
      <w:r w:rsidR="005A6043">
        <w:t xml:space="preserve"> All versions of each subject material should be available and organized to clearly indicate which is the most current IRB approved</w:t>
      </w:r>
      <w:r w:rsidR="006B15BB">
        <w:t xml:space="preserve"> for use</w:t>
      </w:r>
      <w:r w:rsidR="005A6043">
        <w:t>.</w:t>
      </w:r>
    </w:p>
    <w:p w:rsidR="00EE5E64" w:rsidRDefault="00EE5E64" w:rsidP="00EE5E64"/>
    <w:p w:rsidR="00EE5E64" w:rsidRPr="00EE5E64" w:rsidRDefault="00EE5E64" w:rsidP="00EE5E64">
      <w:pPr>
        <w:rPr>
          <w:b/>
          <w:sz w:val="24"/>
        </w:rPr>
      </w:pPr>
      <w:r w:rsidRPr="00545948">
        <w:rPr>
          <w:b/>
          <w:sz w:val="24"/>
        </w:rPr>
        <w:t>IRB Roster</w:t>
      </w:r>
      <w:r w:rsidR="00545948">
        <w:rPr>
          <w:b/>
          <w:sz w:val="24"/>
        </w:rPr>
        <w:t>s</w:t>
      </w:r>
    </w:p>
    <w:p w:rsidR="00EE5E64" w:rsidRPr="006E03BE" w:rsidRDefault="00F861FF" w:rsidP="006E03BE">
      <w:pPr>
        <w:ind w:left="720"/>
      </w:pPr>
      <w:r w:rsidRPr="006E03BE">
        <w:t xml:space="preserve">A copy of the </w:t>
      </w:r>
      <w:r w:rsidR="00EE5E64" w:rsidRPr="006E03BE">
        <w:t>IRB</w:t>
      </w:r>
      <w:r w:rsidRPr="006E03BE">
        <w:t xml:space="preserve"> rosters</w:t>
      </w:r>
      <w:r w:rsidR="00EE5E64" w:rsidRPr="006E03BE">
        <w:t xml:space="preserve"> that approved the initial study and subsequent submissions</w:t>
      </w:r>
      <w:r w:rsidR="00342190" w:rsidRPr="006E03BE">
        <w:t xml:space="preserve"> that received full review</w:t>
      </w:r>
      <w:r w:rsidRPr="006E03BE">
        <w:t xml:space="preserve"> should be found with its approval</w:t>
      </w:r>
      <w:r w:rsidR="00EE5E64" w:rsidRPr="006E03BE">
        <w:t>.</w:t>
      </w:r>
    </w:p>
    <w:p w:rsidR="00EE5E64" w:rsidRDefault="00EE5E64" w:rsidP="00EE5E64"/>
    <w:p w:rsidR="00EE5E64" w:rsidRPr="00EE5E64" w:rsidRDefault="00EE5E64" w:rsidP="00EE5E64">
      <w:pPr>
        <w:rPr>
          <w:b/>
          <w:sz w:val="24"/>
        </w:rPr>
      </w:pPr>
      <w:r w:rsidRPr="00545948">
        <w:rPr>
          <w:b/>
          <w:sz w:val="24"/>
        </w:rPr>
        <w:t>Normal Lab Ranges</w:t>
      </w:r>
    </w:p>
    <w:p w:rsidR="00EE5E64" w:rsidRPr="006E03BE" w:rsidRDefault="00EE5E64" w:rsidP="006E03BE">
      <w:pPr>
        <w:ind w:left="720"/>
      </w:pPr>
      <w:r w:rsidRPr="006E03BE">
        <w:t>The normal ranges for the lab tests being performed for the study</w:t>
      </w:r>
      <w:r w:rsidR="00F861FF" w:rsidRPr="006E03BE">
        <w:t xml:space="preserve"> should be readily available. This should include any normal lab ranges that have been updated.</w:t>
      </w:r>
    </w:p>
    <w:p w:rsidR="00EE5E64" w:rsidRDefault="00EE5E64" w:rsidP="00EE5E64">
      <w:pPr>
        <w:rPr>
          <w:rFonts w:eastAsia="Times New Roman" w:cs="Calibri"/>
          <w:color w:val="000000"/>
        </w:rPr>
      </w:pPr>
    </w:p>
    <w:p w:rsidR="00EE5E64" w:rsidRPr="00597440" w:rsidRDefault="00EE5E64" w:rsidP="00597440">
      <w:pPr>
        <w:rPr>
          <w:b/>
          <w:sz w:val="24"/>
        </w:rPr>
      </w:pPr>
      <w:r w:rsidRPr="00545948">
        <w:rPr>
          <w:b/>
          <w:sz w:val="24"/>
        </w:rPr>
        <w:t>Lab Certifi</w:t>
      </w:r>
      <w:r w:rsidR="00597440" w:rsidRPr="00545948">
        <w:rPr>
          <w:b/>
          <w:sz w:val="24"/>
        </w:rPr>
        <w:t>cations</w:t>
      </w:r>
      <w:r w:rsidR="00FF1F2F">
        <w:rPr>
          <w:b/>
          <w:sz w:val="24"/>
        </w:rPr>
        <w:t xml:space="preserve"> / Accreditations</w:t>
      </w:r>
    </w:p>
    <w:p w:rsidR="00EE5E64" w:rsidRPr="00545948" w:rsidRDefault="00FF1F2F" w:rsidP="00545948">
      <w:pPr>
        <w:ind w:left="720"/>
      </w:pPr>
      <w:r w:rsidRPr="00545948">
        <w:t xml:space="preserve">Copies of the </w:t>
      </w:r>
      <w:r w:rsidR="00EE5E64" w:rsidRPr="00545948">
        <w:t xml:space="preserve">certification / accreditation for </w:t>
      </w:r>
      <w:r w:rsidRPr="00545948">
        <w:t xml:space="preserve">any </w:t>
      </w:r>
      <w:r w:rsidR="00EE5E64" w:rsidRPr="00545948">
        <w:t>lab(s) being used for the study</w:t>
      </w:r>
      <w:r w:rsidR="003B026B" w:rsidRPr="00545948">
        <w:t>, where specimens are handled,</w:t>
      </w:r>
      <w:r w:rsidRPr="00545948">
        <w:t xml:space="preserve"> must be readily available</w:t>
      </w:r>
      <w:r w:rsidR="00EE5E64" w:rsidRPr="00545948">
        <w:t>.</w:t>
      </w:r>
      <w:r w:rsidRPr="00545948">
        <w:t xml:space="preserve"> Generally, a copy should be present in the lab as well. </w:t>
      </w:r>
      <w:r w:rsidR="003B026B" w:rsidRPr="00545948">
        <w:t>This section should also</w:t>
      </w:r>
      <w:r w:rsidRPr="00545948">
        <w:t xml:space="preserve"> include the CLIA (Clinical Laboratory Improvement Amendments) and the CAP (College of American Pathologists)</w:t>
      </w:r>
      <w:r w:rsidR="003B026B" w:rsidRPr="00545948">
        <w:t xml:space="preserve"> for any lab area(s) where specimens are processed</w:t>
      </w:r>
      <w:r w:rsidRPr="00545948">
        <w:t>.</w:t>
      </w:r>
    </w:p>
    <w:p w:rsidR="00EE5E64" w:rsidRDefault="00BF45E4" w:rsidP="00EE5E64">
      <w:r>
        <w:t xml:space="preserve"> </w:t>
      </w:r>
    </w:p>
    <w:p w:rsidR="00EE5E64" w:rsidRPr="00EE5E64" w:rsidRDefault="00EE5E64" w:rsidP="00EE5E64">
      <w:pPr>
        <w:rPr>
          <w:b/>
          <w:sz w:val="24"/>
        </w:rPr>
      </w:pPr>
      <w:r w:rsidRPr="00545948">
        <w:rPr>
          <w:b/>
          <w:sz w:val="24"/>
        </w:rPr>
        <w:t>Biological Specimens</w:t>
      </w:r>
    </w:p>
    <w:p w:rsidR="00EE5E64" w:rsidRPr="00545948" w:rsidRDefault="00EE5E64" w:rsidP="00545948">
      <w:pPr>
        <w:ind w:left="720"/>
      </w:pPr>
      <w:r w:rsidRPr="00545948">
        <w:t>Documentation of specimen collection and shipment</w:t>
      </w:r>
      <w:r w:rsidR="003B026B" w:rsidRPr="00545948">
        <w:t xml:space="preserve"> should be easily accessible. Generally, this can be found in the protocol or a separate manual.</w:t>
      </w:r>
    </w:p>
    <w:p w:rsidR="00EE5E64" w:rsidRDefault="00EE5E64" w:rsidP="00EE5E64">
      <w:pPr>
        <w:rPr>
          <w:rFonts w:eastAsia="Times New Roman" w:cs="Calibri"/>
          <w:color w:val="000000"/>
        </w:rPr>
      </w:pPr>
    </w:p>
    <w:p w:rsidR="00EE5E64" w:rsidRPr="00E419AF" w:rsidRDefault="00EE5E64" w:rsidP="00EE5E64">
      <w:pPr>
        <w:rPr>
          <w:rFonts w:eastAsia="Times New Roman" w:cs="Calibri"/>
          <w:color w:val="000000"/>
        </w:rPr>
      </w:pPr>
      <w:r w:rsidRPr="006234CC">
        <w:rPr>
          <w:b/>
          <w:sz w:val="24"/>
        </w:rPr>
        <w:t>DSMB</w:t>
      </w:r>
      <w:r w:rsidR="003B026B" w:rsidRPr="006234CC">
        <w:rPr>
          <w:b/>
          <w:sz w:val="24"/>
        </w:rPr>
        <w:t xml:space="preserve"> Letters</w:t>
      </w:r>
    </w:p>
    <w:p w:rsidR="00EE5E64" w:rsidRPr="00E419AF" w:rsidRDefault="0062034A" w:rsidP="00597440">
      <w:pPr>
        <w:spacing w:after="0" w:line="360" w:lineRule="auto"/>
        <w:ind w:firstLine="720"/>
        <w:contextualSpacing/>
        <w:rPr>
          <w:rFonts w:eastAsia="Times New Roman" w:cs="Calibri"/>
          <w:color w:val="000000"/>
        </w:rPr>
      </w:pPr>
      <w:r>
        <w:rPr>
          <w:rFonts w:eastAsia="Times New Roman" w:cs="Calibri"/>
          <w:color w:val="000000"/>
        </w:rPr>
        <w:t xml:space="preserve">Copies of all </w:t>
      </w:r>
      <w:r w:rsidR="00EE5E64" w:rsidRPr="00E419AF">
        <w:rPr>
          <w:rFonts w:eastAsia="Times New Roman" w:cs="Calibri"/>
          <w:color w:val="000000"/>
        </w:rPr>
        <w:t>Data Safety Monitoring Board</w:t>
      </w:r>
      <w:r>
        <w:rPr>
          <w:rFonts w:eastAsia="Times New Roman" w:cs="Calibri"/>
          <w:color w:val="000000"/>
        </w:rPr>
        <w:t xml:space="preserve"> (DSMB)</w:t>
      </w:r>
      <w:r w:rsidR="00EE5E64" w:rsidRPr="00E419AF">
        <w:rPr>
          <w:rFonts w:eastAsia="Times New Roman" w:cs="Calibri"/>
          <w:color w:val="000000"/>
        </w:rPr>
        <w:t xml:space="preserve"> information, plans</w:t>
      </w:r>
      <w:r w:rsidR="009B1510">
        <w:rPr>
          <w:rFonts w:eastAsia="Times New Roman" w:cs="Calibri"/>
          <w:color w:val="000000"/>
        </w:rPr>
        <w:t>,</w:t>
      </w:r>
      <w:r w:rsidR="00EE5E64" w:rsidRPr="00E419AF">
        <w:rPr>
          <w:rFonts w:eastAsia="Times New Roman" w:cs="Calibri"/>
          <w:color w:val="000000"/>
        </w:rPr>
        <w:t xml:space="preserve"> and reports</w:t>
      </w:r>
      <w:r w:rsidR="006234CC">
        <w:rPr>
          <w:rFonts w:eastAsia="Times New Roman" w:cs="Calibri"/>
          <w:color w:val="000000"/>
        </w:rPr>
        <w:t xml:space="preserve"> s</w:t>
      </w:r>
      <w:r>
        <w:rPr>
          <w:rFonts w:eastAsia="Times New Roman" w:cs="Calibri"/>
          <w:color w:val="000000"/>
        </w:rPr>
        <w:t>hould be readily available.</w:t>
      </w:r>
    </w:p>
    <w:p w:rsidR="00EE5E64" w:rsidRDefault="00EE5E64" w:rsidP="00EE5E64"/>
    <w:p w:rsidR="00597440" w:rsidRPr="00597440" w:rsidRDefault="00597440" w:rsidP="00597440">
      <w:pPr>
        <w:rPr>
          <w:b/>
          <w:sz w:val="24"/>
        </w:rPr>
      </w:pPr>
      <w:r w:rsidRPr="00545948">
        <w:rPr>
          <w:b/>
          <w:sz w:val="24"/>
        </w:rPr>
        <w:t>Sponsor Monitoring Reports</w:t>
      </w:r>
    </w:p>
    <w:p w:rsidR="00597440" w:rsidRPr="00AF35CD" w:rsidRDefault="00597440" w:rsidP="00AF35CD">
      <w:pPr>
        <w:ind w:left="720"/>
      </w:pPr>
      <w:r w:rsidRPr="00AF35CD">
        <w:t>Sponsor monitoring reports and any responses or corrective action plans</w:t>
      </w:r>
      <w:r w:rsidR="007A3AE6" w:rsidRPr="00AF35CD">
        <w:t xml:space="preserve"> must be kept</w:t>
      </w:r>
      <w:r w:rsidRPr="00AF35CD">
        <w:t>.</w:t>
      </w:r>
      <w:r w:rsidR="007A3AE6" w:rsidRPr="00AF35CD">
        <w:t xml:space="preserve"> These documents should be kept in an organized and reverse chronological order.</w:t>
      </w:r>
      <w:r w:rsidR="002F54F3" w:rsidRPr="00AF35CD">
        <w:t xml:space="preserve"> In addition to the monitoring letters, the </w:t>
      </w:r>
      <w:r w:rsidR="006E267D" w:rsidRPr="00AF35CD">
        <w:t xml:space="preserve">sponsor-provided </w:t>
      </w:r>
      <w:r w:rsidR="002F54F3" w:rsidRPr="00AF35CD">
        <w:t xml:space="preserve">monitoring log should be </w:t>
      </w:r>
      <w:r w:rsidR="00252F4D" w:rsidRPr="00AF35CD">
        <w:t>saved</w:t>
      </w:r>
      <w:r w:rsidR="006E267D" w:rsidRPr="00AF35CD">
        <w:t xml:space="preserve"> for ongoing use. This log details each date the monitor</w:t>
      </w:r>
      <w:r w:rsidR="00AF35CD" w:rsidRPr="00AF35CD">
        <w:t xml:space="preserve"> is on site to review all study and subject records. </w:t>
      </w:r>
    </w:p>
    <w:p w:rsidR="00597440" w:rsidRDefault="00597440" w:rsidP="00EE5E64"/>
    <w:p w:rsidR="00597440" w:rsidRPr="00597440" w:rsidRDefault="00597440" w:rsidP="00597440">
      <w:pPr>
        <w:rPr>
          <w:b/>
          <w:sz w:val="24"/>
        </w:rPr>
      </w:pPr>
      <w:r w:rsidRPr="00545948">
        <w:rPr>
          <w:b/>
          <w:sz w:val="24"/>
        </w:rPr>
        <w:t>Study Results</w:t>
      </w:r>
    </w:p>
    <w:p w:rsidR="00597440" w:rsidRPr="00545948" w:rsidRDefault="00597440" w:rsidP="00545948">
      <w:pPr>
        <w:ind w:left="720"/>
      </w:pPr>
      <w:r w:rsidRPr="00545948">
        <w:lastRenderedPageBreak/>
        <w:t>Interim and final study results (e.g.</w:t>
      </w:r>
      <w:r w:rsidR="00AF35CD" w:rsidRPr="00545948">
        <w:t>,</w:t>
      </w:r>
      <w:r w:rsidRPr="00545948">
        <w:t xml:space="preserve"> progress reports, clinical trial reports, final reports, publications, presentations)</w:t>
      </w:r>
      <w:r w:rsidR="003B026B" w:rsidRPr="00545948">
        <w:t xml:space="preserve"> should be readily available</w:t>
      </w:r>
      <w:r w:rsidRPr="00545948">
        <w:t>.</w:t>
      </w:r>
      <w:r w:rsidR="003B026B" w:rsidRPr="00545948">
        <w:t xml:space="preserve"> Once the study is closed and the final report has been received, all documents should be retained on site</w:t>
      </w:r>
      <w:r w:rsidR="00D248A7">
        <w:t>.</w:t>
      </w:r>
      <w:r w:rsidR="00881761">
        <w:t xml:space="preserve"> University </w:t>
      </w:r>
      <w:r w:rsidR="000137F7">
        <w:t>P</w:t>
      </w:r>
      <w:r w:rsidR="00881761">
        <w:t>olicy 102.39</w:t>
      </w:r>
      <w:r w:rsidR="00920994">
        <w:t xml:space="preserve"> should be </w:t>
      </w:r>
      <w:r w:rsidR="007B050A">
        <w:t>followed regarding record retention</w:t>
      </w:r>
      <w:r w:rsidR="00881761">
        <w:t>.</w:t>
      </w:r>
    </w:p>
    <w:p w:rsidR="00597440" w:rsidRDefault="00597440" w:rsidP="00EE5E64"/>
    <w:p w:rsidR="00600731" w:rsidRDefault="00600731"/>
    <w:p w:rsidR="00600731" w:rsidRDefault="00600731"/>
    <w:p w:rsidR="008725C9" w:rsidRDefault="008725C9"/>
    <w:p w:rsidR="008725C9" w:rsidRDefault="008725C9"/>
    <w:p w:rsidR="008725C9" w:rsidRDefault="008725C9"/>
    <w:p w:rsidR="00600731" w:rsidRDefault="00600731"/>
    <w:sectPr w:rsidR="00600731" w:rsidSect="0026191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2F" w:rsidRDefault="00FF1F2F" w:rsidP="00FB5713">
      <w:pPr>
        <w:spacing w:after="0" w:line="240" w:lineRule="auto"/>
      </w:pPr>
      <w:r>
        <w:separator/>
      </w:r>
    </w:p>
  </w:endnote>
  <w:endnote w:type="continuationSeparator" w:id="0">
    <w:p w:rsidR="00FF1F2F" w:rsidRDefault="00FF1F2F" w:rsidP="00FB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2F" w:rsidRDefault="00FF1F2F" w:rsidP="00FB5713">
      <w:pPr>
        <w:spacing w:after="0" w:line="240" w:lineRule="auto"/>
      </w:pPr>
      <w:r>
        <w:separator/>
      </w:r>
    </w:p>
  </w:footnote>
  <w:footnote w:type="continuationSeparator" w:id="0">
    <w:p w:rsidR="00FF1F2F" w:rsidRDefault="00FF1F2F" w:rsidP="00FB5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60"/>
    <w:rsid w:val="000137F7"/>
    <w:rsid w:val="00014860"/>
    <w:rsid w:val="00036A3B"/>
    <w:rsid w:val="00057DE7"/>
    <w:rsid w:val="00060ABC"/>
    <w:rsid w:val="00082C46"/>
    <w:rsid w:val="00083A20"/>
    <w:rsid w:val="00095CC0"/>
    <w:rsid w:val="000968AC"/>
    <w:rsid w:val="000A4B7D"/>
    <w:rsid w:val="000D0636"/>
    <w:rsid w:val="000D09CF"/>
    <w:rsid w:val="0010225B"/>
    <w:rsid w:val="00110F5B"/>
    <w:rsid w:val="0012171E"/>
    <w:rsid w:val="001308B2"/>
    <w:rsid w:val="001420C1"/>
    <w:rsid w:val="001436D2"/>
    <w:rsid w:val="00153E4E"/>
    <w:rsid w:val="001540FF"/>
    <w:rsid w:val="00177AF3"/>
    <w:rsid w:val="001D03EA"/>
    <w:rsid w:val="001D7251"/>
    <w:rsid w:val="001F3C9E"/>
    <w:rsid w:val="002149B1"/>
    <w:rsid w:val="00235BD0"/>
    <w:rsid w:val="00246571"/>
    <w:rsid w:val="00252F4D"/>
    <w:rsid w:val="0026191D"/>
    <w:rsid w:val="002639BF"/>
    <w:rsid w:val="002677E6"/>
    <w:rsid w:val="00277FA1"/>
    <w:rsid w:val="00281E20"/>
    <w:rsid w:val="00290893"/>
    <w:rsid w:val="00296737"/>
    <w:rsid w:val="002C3260"/>
    <w:rsid w:val="002C370D"/>
    <w:rsid w:val="002C4D05"/>
    <w:rsid w:val="002C561D"/>
    <w:rsid w:val="002D23FF"/>
    <w:rsid w:val="002E4E2D"/>
    <w:rsid w:val="002F54F3"/>
    <w:rsid w:val="00305919"/>
    <w:rsid w:val="003101E0"/>
    <w:rsid w:val="00333A6E"/>
    <w:rsid w:val="00342190"/>
    <w:rsid w:val="003444FD"/>
    <w:rsid w:val="003543A0"/>
    <w:rsid w:val="00364618"/>
    <w:rsid w:val="00367E37"/>
    <w:rsid w:val="003918BC"/>
    <w:rsid w:val="003B026B"/>
    <w:rsid w:val="003D1279"/>
    <w:rsid w:val="003D6AD3"/>
    <w:rsid w:val="003E3FEC"/>
    <w:rsid w:val="003F4168"/>
    <w:rsid w:val="003F45F2"/>
    <w:rsid w:val="0040164B"/>
    <w:rsid w:val="004161AE"/>
    <w:rsid w:val="004455AD"/>
    <w:rsid w:val="00446FDD"/>
    <w:rsid w:val="004479F2"/>
    <w:rsid w:val="00451235"/>
    <w:rsid w:val="00455D93"/>
    <w:rsid w:val="00464135"/>
    <w:rsid w:val="004C0C1B"/>
    <w:rsid w:val="004C305F"/>
    <w:rsid w:val="004C64BC"/>
    <w:rsid w:val="004E0EDF"/>
    <w:rsid w:val="004F6409"/>
    <w:rsid w:val="005030D7"/>
    <w:rsid w:val="00522BF3"/>
    <w:rsid w:val="00545069"/>
    <w:rsid w:val="00545948"/>
    <w:rsid w:val="0056073B"/>
    <w:rsid w:val="00586819"/>
    <w:rsid w:val="00587575"/>
    <w:rsid w:val="00597440"/>
    <w:rsid w:val="005A6043"/>
    <w:rsid w:val="005A6CF4"/>
    <w:rsid w:val="005E7992"/>
    <w:rsid w:val="005F225E"/>
    <w:rsid w:val="005F62AD"/>
    <w:rsid w:val="00600731"/>
    <w:rsid w:val="00611F65"/>
    <w:rsid w:val="006165ED"/>
    <w:rsid w:val="0062034A"/>
    <w:rsid w:val="006234CC"/>
    <w:rsid w:val="00625AE8"/>
    <w:rsid w:val="00635CFC"/>
    <w:rsid w:val="0064725A"/>
    <w:rsid w:val="0066301B"/>
    <w:rsid w:val="006639BB"/>
    <w:rsid w:val="006A2BDD"/>
    <w:rsid w:val="006B0B67"/>
    <w:rsid w:val="006B15BB"/>
    <w:rsid w:val="006B1C16"/>
    <w:rsid w:val="006D0718"/>
    <w:rsid w:val="006E03BE"/>
    <w:rsid w:val="006E267D"/>
    <w:rsid w:val="006E6EA0"/>
    <w:rsid w:val="00701C15"/>
    <w:rsid w:val="0070327C"/>
    <w:rsid w:val="00704F04"/>
    <w:rsid w:val="00707BE7"/>
    <w:rsid w:val="00720955"/>
    <w:rsid w:val="00721520"/>
    <w:rsid w:val="00735D25"/>
    <w:rsid w:val="00774140"/>
    <w:rsid w:val="00777D8D"/>
    <w:rsid w:val="00781339"/>
    <w:rsid w:val="007850C8"/>
    <w:rsid w:val="00786A30"/>
    <w:rsid w:val="007A3085"/>
    <w:rsid w:val="007A3AE6"/>
    <w:rsid w:val="007B050A"/>
    <w:rsid w:val="007B4F67"/>
    <w:rsid w:val="007C17D5"/>
    <w:rsid w:val="007C60ED"/>
    <w:rsid w:val="00827924"/>
    <w:rsid w:val="008306CD"/>
    <w:rsid w:val="008427FF"/>
    <w:rsid w:val="0084555C"/>
    <w:rsid w:val="00860FA4"/>
    <w:rsid w:val="00862E2F"/>
    <w:rsid w:val="008649C8"/>
    <w:rsid w:val="008725C9"/>
    <w:rsid w:val="00873CE2"/>
    <w:rsid w:val="00881761"/>
    <w:rsid w:val="00885811"/>
    <w:rsid w:val="008B04F3"/>
    <w:rsid w:val="008B071C"/>
    <w:rsid w:val="008B158C"/>
    <w:rsid w:val="008B2A72"/>
    <w:rsid w:val="008C2FA4"/>
    <w:rsid w:val="008D5EB9"/>
    <w:rsid w:val="008F1F42"/>
    <w:rsid w:val="00920994"/>
    <w:rsid w:val="00923520"/>
    <w:rsid w:val="00953A43"/>
    <w:rsid w:val="0097326A"/>
    <w:rsid w:val="00996ADD"/>
    <w:rsid w:val="009A493C"/>
    <w:rsid w:val="009A4C9F"/>
    <w:rsid w:val="009B1510"/>
    <w:rsid w:val="009B210C"/>
    <w:rsid w:val="009D329A"/>
    <w:rsid w:val="009D7334"/>
    <w:rsid w:val="009E4EA3"/>
    <w:rsid w:val="009F0F9D"/>
    <w:rsid w:val="009F31E2"/>
    <w:rsid w:val="009F3CC6"/>
    <w:rsid w:val="009F704C"/>
    <w:rsid w:val="00A0129F"/>
    <w:rsid w:val="00A0220A"/>
    <w:rsid w:val="00A056C5"/>
    <w:rsid w:val="00A16D80"/>
    <w:rsid w:val="00A2652E"/>
    <w:rsid w:val="00A4038D"/>
    <w:rsid w:val="00A60CCE"/>
    <w:rsid w:val="00A62789"/>
    <w:rsid w:val="00A66178"/>
    <w:rsid w:val="00A6624A"/>
    <w:rsid w:val="00A66C94"/>
    <w:rsid w:val="00A95F30"/>
    <w:rsid w:val="00AA5F23"/>
    <w:rsid w:val="00AB3A64"/>
    <w:rsid w:val="00AD0D6A"/>
    <w:rsid w:val="00AD25D5"/>
    <w:rsid w:val="00AF35CD"/>
    <w:rsid w:val="00B156F6"/>
    <w:rsid w:val="00B17F74"/>
    <w:rsid w:val="00B31745"/>
    <w:rsid w:val="00B700DB"/>
    <w:rsid w:val="00B73EA9"/>
    <w:rsid w:val="00B7678F"/>
    <w:rsid w:val="00B8225B"/>
    <w:rsid w:val="00B86695"/>
    <w:rsid w:val="00B93264"/>
    <w:rsid w:val="00B94778"/>
    <w:rsid w:val="00BA309E"/>
    <w:rsid w:val="00BB2CD5"/>
    <w:rsid w:val="00BE0686"/>
    <w:rsid w:val="00BE4A8E"/>
    <w:rsid w:val="00BF45E4"/>
    <w:rsid w:val="00BF5DC0"/>
    <w:rsid w:val="00BF7DF6"/>
    <w:rsid w:val="00C00E8F"/>
    <w:rsid w:val="00C04270"/>
    <w:rsid w:val="00C35C81"/>
    <w:rsid w:val="00C46C93"/>
    <w:rsid w:val="00C47A6E"/>
    <w:rsid w:val="00C52D31"/>
    <w:rsid w:val="00C70F12"/>
    <w:rsid w:val="00C842DB"/>
    <w:rsid w:val="00C97BDB"/>
    <w:rsid w:val="00CA274E"/>
    <w:rsid w:val="00CA6C73"/>
    <w:rsid w:val="00CC08B2"/>
    <w:rsid w:val="00CC3978"/>
    <w:rsid w:val="00CD2365"/>
    <w:rsid w:val="00CD28E5"/>
    <w:rsid w:val="00CD3D86"/>
    <w:rsid w:val="00CD608B"/>
    <w:rsid w:val="00CE71C5"/>
    <w:rsid w:val="00D05473"/>
    <w:rsid w:val="00D07406"/>
    <w:rsid w:val="00D12693"/>
    <w:rsid w:val="00D20187"/>
    <w:rsid w:val="00D248A7"/>
    <w:rsid w:val="00D316D7"/>
    <w:rsid w:val="00D41C74"/>
    <w:rsid w:val="00D42378"/>
    <w:rsid w:val="00D5148B"/>
    <w:rsid w:val="00D92FA9"/>
    <w:rsid w:val="00D94DEB"/>
    <w:rsid w:val="00D96E79"/>
    <w:rsid w:val="00D9773B"/>
    <w:rsid w:val="00DD6EC2"/>
    <w:rsid w:val="00DE004E"/>
    <w:rsid w:val="00DE12DB"/>
    <w:rsid w:val="00DE3779"/>
    <w:rsid w:val="00DE55B8"/>
    <w:rsid w:val="00DF79B6"/>
    <w:rsid w:val="00E02FB5"/>
    <w:rsid w:val="00E20510"/>
    <w:rsid w:val="00E30244"/>
    <w:rsid w:val="00E54900"/>
    <w:rsid w:val="00E61B31"/>
    <w:rsid w:val="00E721D0"/>
    <w:rsid w:val="00E756A5"/>
    <w:rsid w:val="00E84BCF"/>
    <w:rsid w:val="00E85A1D"/>
    <w:rsid w:val="00E920DC"/>
    <w:rsid w:val="00EB176C"/>
    <w:rsid w:val="00EB53B1"/>
    <w:rsid w:val="00EC66C0"/>
    <w:rsid w:val="00EE0952"/>
    <w:rsid w:val="00EE5D87"/>
    <w:rsid w:val="00EE5E64"/>
    <w:rsid w:val="00EE62CA"/>
    <w:rsid w:val="00EF7B35"/>
    <w:rsid w:val="00F01E79"/>
    <w:rsid w:val="00F201BE"/>
    <w:rsid w:val="00F276BF"/>
    <w:rsid w:val="00F524A8"/>
    <w:rsid w:val="00F5297B"/>
    <w:rsid w:val="00F655B6"/>
    <w:rsid w:val="00F71D73"/>
    <w:rsid w:val="00F813C0"/>
    <w:rsid w:val="00F861FF"/>
    <w:rsid w:val="00F91197"/>
    <w:rsid w:val="00F95FD4"/>
    <w:rsid w:val="00F9726A"/>
    <w:rsid w:val="00FB0232"/>
    <w:rsid w:val="00FB5713"/>
    <w:rsid w:val="00FC271E"/>
    <w:rsid w:val="00FC3362"/>
    <w:rsid w:val="00FC3E7C"/>
    <w:rsid w:val="00FC4C45"/>
    <w:rsid w:val="00FD3E44"/>
    <w:rsid w:val="00FE5B92"/>
    <w:rsid w:val="00F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C15E"/>
  <w15:chartTrackingRefBased/>
  <w15:docId w15:val="{97AEBB06-C36F-44F2-A457-EF707029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13"/>
  </w:style>
  <w:style w:type="paragraph" w:styleId="Footer">
    <w:name w:val="footer"/>
    <w:basedOn w:val="Normal"/>
    <w:link w:val="FooterChar"/>
    <w:uiPriority w:val="99"/>
    <w:unhideWhenUsed/>
    <w:rsid w:val="00FB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13"/>
  </w:style>
  <w:style w:type="character" w:styleId="Hyperlink">
    <w:name w:val="Hyperlink"/>
    <w:basedOn w:val="DefaultParagraphFont"/>
    <w:uiPriority w:val="99"/>
    <w:unhideWhenUsed/>
    <w:rsid w:val="000D09CF"/>
    <w:rPr>
      <w:color w:val="0563C1" w:themeColor="hyperlink"/>
      <w:u w:val="single"/>
    </w:rPr>
  </w:style>
  <w:style w:type="paragraph" w:styleId="BalloonText">
    <w:name w:val="Balloon Text"/>
    <w:basedOn w:val="Normal"/>
    <w:link w:val="BalloonTextChar"/>
    <w:uiPriority w:val="99"/>
    <w:semiHidden/>
    <w:unhideWhenUsed/>
    <w:rsid w:val="00D92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A9"/>
    <w:rPr>
      <w:rFonts w:ascii="Segoe UI" w:hAnsi="Segoe UI" w:cs="Segoe UI"/>
      <w:sz w:val="18"/>
      <w:szCs w:val="18"/>
    </w:rPr>
  </w:style>
  <w:style w:type="character" w:styleId="CommentReference">
    <w:name w:val="annotation reference"/>
    <w:basedOn w:val="DefaultParagraphFont"/>
    <w:uiPriority w:val="99"/>
    <w:semiHidden/>
    <w:unhideWhenUsed/>
    <w:rsid w:val="009A4C9F"/>
    <w:rPr>
      <w:sz w:val="16"/>
      <w:szCs w:val="16"/>
    </w:rPr>
  </w:style>
  <w:style w:type="paragraph" w:styleId="CommentText">
    <w:name w:val="annotation text"/>
    <w:basedOn w:val="Normal"/>
    <w:link w:val="CommentTextChar"/>
    <w:uiPriority w:val="99"/>
    <w:semiHidden/>
    <w:unhideWhenUsed/>
    <w:rsid w:val="009A4C9F"/>
    <w:pPr>
      <w:spacing w:line="240" w:lineRule="auto"/>
    </w:pPr>
    <w:rPr>
      <w:sz w:val="20"/>
      <w:szCs w:val="20"/>
    </w:rPr>
  </w:style>
  <w:style w:type="character" w:customStyle="1" w:styleId="CommentTextChar">
    <w:name w:val="Comment Text Char"/>
    <w:basedOn w:val="DefaultParagraphFont"/>
    <w:link w:val="CommentText"/>
    <w:uiPriority w:val="99"/>
    <w:semiHidden/>
    <w:rsid w:val="009A4C9F"/>
    <w:rPr>
      <w:sz w:val="20"/>
      <w:szCs w:val="20"/>
    </w:rPr>
  </w:style>
  <w:style w:type="paragraph" w:styleId="CommentSubject">
    <w:name w:val="annotation subject"/>
    <w:basedOn w:val="CommentText"/>
    <w:next w:val="CommentText"/>
    <w:link w:val="CommentSubjectChar"/>
    <w:uiPriority w:val="99"/>
    <w:semiHidden/>
    <w:unhideWhenUsed/>
    <w:rsid w:val="009A4C9F"/>
    <w:rPr>
      <w:b/>
      <w:bCs/>
    </w:rPr>
  </w:style>
  <w:style w:type="character" w:customStyle="1" w:styleId="CommentSubjectChar">
    <w:name w:val="Comment Subject Char"/>
    <w:basedOn w:val="CommentTextChar"/>
    <w:link w:val="CommentSubject"/>
    <w:uiPriority w:val="99"/>
    <w:semiHidden/>
    <w:rsid w:val="009A4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72704">
      <w:bodyDiv w:val="1"/>
      <w:marLeft w:val="0"/>
      <w:marRight w:val="0"/>
      <w:marTop w:val="0"/>
      <w:marBottom w:val="0"/>
      <w:divBdr>
        <w:top w:val="none" w:sz="0" w:space="0" w:color="auto"/>
        <w:left w:val="none" w:sz="0" w:space="0" w:color="auto"/>
        <w:bottom w:val="none" w:sz="0" w:space="0" w:color="auto"/>
        <w:right w:val="none" w:sz="0" w:space="0" w:color="auto"/>
      </w:divBdr>
    </w:div>
    <w:div w:id="14347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a.Yates@Jefferson.edu" TargetMode="External"/><Relationship Id="rId3" Type="http://schemas.openxmlformats.org/officeDocument/2006/relationships/settings" Target="settings.xml"/><Relationship Id="rId7" Type="http://schemas.openxmlformats.org/officeDocument/2006/relationships/hyperlink" Target="https://www.jefferson.edu/university/human_research/resources/essential-study-documentati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rick.Herbison@Jeff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A7E2D4-707E-444D-A57F-E8C733B9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8</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Yates</dc:creator>
  <cp:keywords/>
  <dc:description/>
  <cp:lastModifiedBy>Johanna Yates</cp:lastModifiedBy>
  <cp:revision>56</cp:revision>
  <dcterms:created xsi:type="dcterms:W3CDTF">2020-06-11T13:32:00Z</dcterms:created>
  <dcterms:modified xsi:type="dcterms:W3CDTF">2020-06-16T16:51:00Z</dcterms:modified>
</cp:coreProperties>
</file>